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1, 2026</w:t>
      </w:r>
    </w:p>
    <w:p>
      <w:pPr>
        <w:spacing w:after="0" w:line="25" w:lineRule="exact"/>
        <w:rPr>
          <w:sz w:val="24"/>
          <w:szCs w:val="24"/>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59690</wp:posOffset>
            </wp:positionV>
            <wp:extent cx="5492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93345</wp:posOffset>
            </wp:positionV>
            <wp:extent cx="5492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126365</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133350</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34"/>
          <w:szCs w:val="34"/>
          <w:b w:val="1"/>
          <w:bCs w:val="1"/>
          <w:color w:val="auto"/>
        </w:rPr>
        <w:t>EASTMAN KODAK COMPANY</w:t>
      </w:r>
    </w:p>
    <w:p>
      <w:pPr>
        <w:spacing w:after="0" w:line="41"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450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180" w:type="dxa"/>
            <w:vAlign w:val="bottom"/>
          </w:tcPr>
          <w:p>
            <w:pPr>
              <w:spacing w:after="0"/>
              <w:rPr>
                <w:sz w:val="16"/>
                <w:szCs w:val="16"/>
                <w:color w:val="auto"/>
              </w:rPr>
            </w:pPr>
          </w:p>
        </w:tc>
      </w:tr>
      <w:tr>
        <w:trPr>
          <w:trHeight w:val="184"/>
        </w:trPr>
        <w:tc>
          <w:tcPr>
            <w:tcW w:w="198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4"/>
        </w:trPr>
        <w:tc>
          <w:tcPr>
            <w:tcW w:w="4500" w:type="dxa"/>
            <w:vAlign w:val="bottom"/>
            <w:gridSpan w:val="3"/>
          </w:tcPr>
          <w:p>
            <w:pPr>
              <w:jc w:val="center"/>
              <w:ind w:right="3020"/>
              <w:spacing w:after="0"/>
              <w:rPr>
                <w:sz w:val="20"/>
                <w:szCs w:val="20"/>
                <w:color w:val="auto"/>
              </w:rPr>
            </w:pPr>
            <w:r>
              <w:rPr>
                <w:rFonts w:ascii="Times New Roman" w:cs="Times New Roman" w:eastAsia="Times New Roman" w:hAnsi="Times New Roman"/>
                <w:sz w:val="14"/>
                <w:szCs w:val="14"/>
                <w:b w:val="1"/>
                <w:bCs w:val="1"/>
                <w:color w:val="auto"/>
                <w:w w:val="99"/>
              </w:rPr>
              <w:t>New Jersey</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16-0417150</w:t>
            </w:r>
          </w:p>
        </w:tc>
      </w:tr>
      <w:tr>
        <w:trPr>
          <w:trHeight w:val="117"/>
        </w:trPr>
        <w:tc>
          <w:tcPr>
            <w:tcW w:w="4500" w:type="dxa"/>
            <w:vAlign w:val="bottom"/>
            <w:gridSpan w:val="3"/>
          </w:tcPr>
          <w:p>
            <w:pPr>
              <w:jc w:val="center"/>
              <w:ind w:right="304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1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4500" w:type="dxa"/>
            <w:vAlign w:val="bottom"/>
            <w:gridSpan w:val="3"/>
          </w:tcPr>
          <w:p>
            <w:pPr>
              <w:jc w:val="center"/>
              <w:ind w:right="30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343 State Street</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Rochester, NY 14650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(800) 356-3259</w:t>
      </w:r>
    </w:p>
    <w:p>
      <w:pPr>
        <w:spacing w:after="0" w:line="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125095</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Roger W. Byrd</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General Counsel, Secretary and Senior Vice President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343 State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Rochester, NY 14650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(800) 356-3259</w:t>
      </w:r>
    </w:p>
    <w:p>
      <w:pPr>
        <w:spacing w:after="0" w:line="4"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125095</wp:posOffset>
            </wp:positionV>
            <wp:extent cx="1157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Andrew L. Fabens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Brian J. Lane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200 Park Avenue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New York, New York 10166-0193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(212) 351-4000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140335</wp:posOffset>
            </wp:positionV>
            <wp:extent cx="1157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65"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80" w:lineRule="exact"/>
        <w:rPr>
          <w:sz w:val="24"/>
          <w:szCs w:val="24"/>
          <w:color w:val="auto"/>
        </w:rPr>
      </w:pPr>
    </w:p>
    <w:p>
      <w:pPr>
        <w:ind w:left="1320" w:right="73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ind w:left="1320" w:right="31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ind w:left="1320" w:right="39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left="1320" w:right="33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ind w:left="1320" w:right="23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ind w:left="1320" w:right="73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jc w:val="both"/>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320" w:type="dxa"/>
        <w:tblCellMar>
          <w:top w:w="0" w:type="dxa"/>
          <w:left w:w="0" w:type="dxa"/>
          <w:bottom w:w="0" w:type="dxa"/>
          <w:right w:w="0" w:type="dxa"/>
        </w:tblCellMar>
      </w:tblPr>
      <w:tr>
        <w:trPr>
          <w:trHeight w:val="237"/>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4"/>
        </w:trPr>
        <w:tc>
          <w:tcPr>
            <w:tcW w:w="14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16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3" w:lineRule="exact"/>
        <w:rPr>
          <w:sz w:val="24"/>
          <w:szCs w:val="24"/>
          <w:color w:val="auto"/>
        </w:rPr>
      </w:pPr>
    </w:p>
    <w:p>
      <w:pPr>
        <w:ind w:left="1320" w:right="319" w:firstLine="346"/>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114935</wp:posOffset>
            </wp:positionV>
            <wp:extent cx="1157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25" w:lineRule="exact"/>
        <w:rPr>
          <w:sz w:val="24"/>
          <w:szCs w:val="24"/>
          <w:color w:val="auto"/>
        </w:rPr>
      </w:pPr>
    </w:p>
    <w:p>
      <w:pPr>
        <w:ind w:left="1320" w:right="459" w:firstLine="346"/>
        <w:spacing w:after="0" w:line="26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837565</wp:posOffset>
            </wp:positionH>
            <wp:positionV relativeFrom="paragraph">
              <wp:posOffset>70485</wp:posOffset>
            </wp:positionV>
            <wp:extent cx="54927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104140</wp:posOffset>
            </wp:positionV>
            <wp:extent cx="5492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10159"/>
          </w:cols>
          <w:pgMar w:left="300" w:top="208" w:right="1440" w:bottom="67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369" w:lineRule="exact"/>
        <w:rPr>
          <w:sz w:val="20"/>
          <w:szCs w:val="20"/>
          <w:color w:val="auto"/>
        </w:rPr>
      </w:pPr>
    </w:p>
    <w:p>
      <w:pPr>
        <w:ind w:left="1320" w:right="239"/>
        <w:spacing w:after="0" w:line="271" w:lineRule="auto"/>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 may be changed. The selling shareholders may not sell these securities until the registration statement filed with the Securities and Exchange Commission is effective. This prospectus is not an offer to sell these securities and the selling shareholders are not soliciting offers to buy these securities in any jurisdiction where the offer or sale is not permitted.</w:t>
      </w:r>
    </w:p>
    <w:p>
      <w:pPr>
        <w:spacing w:after="0" w:line="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FF4338"/>
        </w:rPr>
        <w:t>Subject to completion, dated July 1, 2026</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EASTMAN KODAK COMPANY</w:t>
      </w:r>
    </w:p>
    <w:p>
      <w:pPr>
        <w:spacing w:after="0" w:line="1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191135</wp:posOffset>
            </wp:positionV>
            <wp:extent cx="11576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320" w:right="219" w:firstLine="346"/>
        <w:spacing w:after="0" w:line="258"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in one or more offerings of up to 4,426,268 shares of our common stock that selling shareholders may from time to time offer and sell. We will not receive any of the proceeds from the sale of our common stock by the selling shareholders. This prospectus provides a general description of the common stock that may be offered and sold from time to time. In certain cases where one or more selling shareholders offer our common stock pursuant to this prospectus, the selling shareholders will provide a prospectus supplement and attach it to this prospectus. Such a prospectus supplement will contain more specific information about the offering. A prospectus supplement may also add to, update or change information contained in this prospectus. You should carefully read this prospectus and any accompanying prospectus supplement, together with the documents we incorporate by reference, before you invest in our common stock.</w:t>
      </w:r>
    </w:p>
    <w:p>
      <w:pPr>
        <w:spacing w:after="0" w:line="145" w:lineRule="exact"/>
        <w:rPr>
          <w:sz w:val="20"/>
          <w:szCs w:val="20"/>
          <w:color w:val="auto"/>
        </w:rPr>
      </w:pPr>
    </w:p>
    <w:p>
      <w:pPr>
        <w:ind w:left="1320" w:right="419" w:firstLine="346"/>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“KODK.” On June 30, 2026, the last reported sale price of our common stock on the New York Stock Exchange was $9.25.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156210</wp:posOffset>
            </wp:positionV>
            <wp:extent cx="11576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81" w:lineRule="exact"/>
        <w:rPr>
          <w:sz w:val="20"/>
          <w:szCs w:val="20"/>
          <w:color w:val="auto"/>
        </w:rPr>
      </w:pPr>
    </w:p>
    <w:p>
      <w:pPr>
        <w:ind w:left="1320" w:right="239" w:firstLine="346"/>
        <w:spacing w:after="0" w:line="245"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You should read carefully and consider the risks referenced under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5 of this prospectus, as well as the other information contained in or incorporated by reference in this prospectus or in any accompanying prospectus supplement before making a decision to invest in our common stock.</w:t>
      </w:r>
    </w:p>
    <w:p>
      <w:pPr>
        <w:spacing w:after="0" w:line="143" w:lineRule="exact"/>
        <w:rPr>
          <w:sz w:val="20"/>
          <w:szCs w:val="20"/>
          <w:color w:val="auto"/>
        </w:rPr>
      </w:pPr>
    </w:p>
    <w:p>
      <w:pPr>
        <w:ind w:left="1320" w:right="299" w:firstLine="346"/>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161290</wp:posOffset>
            </wp:positionV>
            <wp:extent cx="11576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400" w:lineRule="exact"/>
        <w:rPr>
          <w:sz w:val="20"/>
          <w:szCs w:val="20"/>
          <w:color w:val="auto"/>
        </w:rPr>
      </w:pPr>
    </w:p>
    <w:p>
      <w:pPr>
        <w:ind w:left="1320" w:right="199" w:firstLine="346"/>
        <w:spacing w:after="0" w:line="261" w:lineRule="auto"/>
        <w:rPr>
          <w:sz w:val="20"/>
          <w:szCs w:val="20"/>
          <w:color w:val="auto"/>
        </w:rPr>
      </w:pPr>
      <w:r>
        <w:rPr>
          <w:rFonts w:ascii="Times New Roman" w:cs="Times New Roman" w:eastAsia="Times New Roman" w:hAnsi="Times New Roman"/>
          <w:sz w:val="14"/>
          <w:szCs w:val="14"/>
          <w:color w:val="auto"/>
        </w:rPr>
        <w:t>The selling shareholders may sell our common stock on a continuous or delayed basis directly, through agents, dealers or underwriters as designated from time to time, or through a combination of these methods. The selling shareholders reserve the sole right to accept, and together with any agents, dealers and underwriters, reserve the right to reject, in whole or in part, any proposed purchase of our common stock. If any agents, dealers or underwriters are involved in the sale of any securities, the applicable prospectus supplement will set forth any applicable commissions or discounts. Our net proceeds from the sale of our common stock also will be set forth in any applicable prospectus supplement.</w:t>
      </w:r>
    </w:p>
    <w:p>
      <w:pPr>
        <w:spacing w:after="0" w:line="14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Prospectus dated          , 2026.</w:t>
      </w:r>
    </w:p>
    <w:p>
      <w:pPr>
        <w:sectPr>
          <w:pgSz w:w="11900" w:h="16838" w:orient="portrait"/>
          <w:cols w:equalWidth="0" w:num="1">
            <w:col w:w="1015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34"/>
        </w:trPr>
        <w:tc>
          <w:tcPr>
            <w:tcW w:w="17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6620" w:type="dxa"/>
            <w:vAlign w:val="bottom"/>
            <w:gridSpan w:val="5"/>
            <w:vMerge w:val="restart"/>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3"/>
              </w:rPr>
              <w:t>Page</w:t>
            </w:r>
          </w:p>
        </w:tc>
        <w:tc>
          <w:tcPr>
            <w:tcW w:w="0" w:type="dxa"/>
            <w:vAlign w:val="bottom"/>
          </w:tcPr>
          <w:p>
            <w:pPr>
              <w:spacing w:after="0"/>
              <w:rPr>
                <w:sz w:val="1"/>
                <w:szCs w:val="1"/>
                <w:color w:val="auto"/>
              </w:rPr>
            </w:pPr>
          </w:p>
        </w:tc>
      </w:tr>
      <w:tr>
        <w:trPr>
          <w:trHeight w:val="123"/>
        </w:trPr>
        <w:tc>
          <w:tcPr>
            <w:tcW w:w="1760" w:type="dxa"/>
            <w:vAlign w:val="bottom"/>
            <w:tcBorders>
              <w:bottom w:val="single" w:sz="8" w:color="0000EE"/>
            </w:tcBorders>
            <w:gridSpan w:val="8"/>
            <w:vMerge w:val="continue"/>
          </w:tcPr>
          <w:p>
            <w:pPr>
              <w:spacing w:after="0"/>
              <w:rPr>
                <w:sz w:val="10"/>
                <w:szCs w:val="10"/>
                <w:color w:val="auto"/>
              </w:rPr>
            </w:pPr>
          </w:p>
        </w:tc>
        <w:tc>
          <w:tcPr>
            <w:tcW w:w="6620" w:type="dxa"/>
            <w:vAlign w:val="bottom"/>
            <w:gridSpan w:val="5"/>
            <w:vMerge w:val="continue"/>
          </w:tcPr>
          <w:p>
            <w:pPr>
              <w:spacing w:after="0"/>
              <w:rPr>
                <w:sz w:val="10"/>
                <w:szCs w:val="10"/>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5380" w:type="dxa"/>
            <w:vAlign w:val="bottom"/>
            <w:gridSpan w:val="3"/>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0"/>
        </w:trPr>
        <w:tc>
          <w:tcPr>
            <w:tcW w:w="838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8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CAUTIONARY STATEMENT CONCERNING FORWARD-LOOKING STATEMENTS</w:t>
            </w:r>
          </w:p>
        </w:tc>
        <w:tc>
          <w:tcPr>
            <w:tcW w:w="330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0"/>
        </w:trPr>
        <w:tc>
          <w:tcPr>
            <w:tcW w:w="838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THE COMPANY</w:t>
            </w: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0"/>
        </w:trPr>
        <w:tc>
          <w:tcPr>
            <w:tcW w:w="98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20" w:type="dxa"/>
            <w:vAlign w:val="bottom"/>
            <w:tcBorders>
              <w:top w:val="single" w:sz="8" w:color="0000EE"/>
            </w:tcBorders>
          </w:tcPr>
          <w:p>
            <w:pPr>
              <w:spacing w:after="0"/>
              <w:rPr>
                <w:sz w:val="13"/>
                <w:szCs w:val="13"/>
                <w:color w:val="auto"/>
              </w:rPr>
            </w:pPr>
          </w:p>
        </w:tc>
        <w:tc>
          <w:tcPr>
            <w:tcW w:w="7380" w:type="dxa"/>
            <w:vAlign w:val="bottom"/>
            <w:gridSpan w:val="10"/>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7140" w:type="dxa"/>
            <w:vAlign w:val="bottom"/>
            <w:gridSpan w:val="8"/>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0"/>
        </w:trPr>
        <w:tc>
          <w:tcPr>
            <w:tcW w:w="174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SHAREHOLDERS</w:t>
            </w:r>
          </w:p>
        </w:tc>
        <w:tc>
          <w:tcPr>
            <w:tcW w:w="6640" w:type="dxa"/>
            <w:vAlign w:val="bottom"/>
            <w:gridSpan w:val="6"/>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0"/>
        </w:trPr>
        <w:tc>
          <w:tcPr>
            <w:tcW w:w="232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6060" w:type="dxa"/>
            <w:vAlign w:val="bottom"/>
            <w:gridSpan w:val="4"/>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0"/>
        </w:trPr>
        <w:tc>
          <w:tcPr>
            <w:tcW w:w="838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0"/>
        </w:trPr>
        <w:tc>
          <w:tcPr>
            <w:tcW w:w="1600" w:type="dxa"/>
            <w:vAlign w:val="bottom"/>
            <w:tcBorders>
              <w:top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6780" w:type="dxa"/>
            <w:vAlign w:val="bottom"/>
            <w:gridSpan w:val="7"/>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7240" w:type="dxa"/>
            <w:vAlign w:val="bottom"/>
            <w:gridSpan w:val="9"/>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Securities and Exchange Commission (the “SEC” or the “Commission”) using a “shelf” registration process. The selling shareholders may from time to time sell up to 4,426,268 shares of our common stock described in this prospectus in one or more secondary offerings. This prospectus provides a general description of our common stock. In certain cases where one or more selling shareholders offer shares of our common stock, the selling shareholders will provide a supplement to this prospectus that contains specific information about the offering. In each prospectus supplement we will include the following information:</w:t>
      </w:r>
    </w:p>
    <w:p>
      <w:pPr>
        <w:spacing w:after="0" w:line="68" w:lineRule="exact"/>
        <w:rPr>
          <w:sz w:val="20"/>
          <w:szCs w:val="20"/>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common stock that the selling shareholders propose to sell;</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of our common stock (in the case of an underwritten offering);</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 through or to which the selling shareholders will sell our common stock, if applicable;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compensation of those underwriters or agents, if applicable;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about any securities exchanges or automated quotation systems on which our common stock is listed or traded.</w:t>
      </w:r>
    </w:p>
    <w:p>
      <w:pPr>
        <w:spacing w:after="0" w:line="178"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In addition, any accompanying prospectus supplement also may add, update or change the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headings “Where You Can Find More Information” and “Incorporation of Certain Information by Reference.”</w:t>
      </w:r>
    </w:p>
    <w:p>
      <w:pPr>
        <w:spacing w:after="0" w:line="140" w:lineRule="exact"/>
        <w:rPr>
          <w:sz w:val="20"/>
          <w:szCs w:val="20"/>
          <w:color w:val="auto"/>
        </w:rPr>
      </w:pPr>
    </w:p>
    <w:p>
      <w:pPr>
        <w:ind w:left="1320" w:right="239" w:firstLine="346"/>
        <w:spacing w:after="0" w:line="258" w:lineRule="auto"/>
        <w:rPr>
          <w:sz w:val="20"/>
          <w:szCs w:val="20"/>
          <w:color w:val="auto"/>
        </w:rPr>
      </w:pPr>
      <w:r>
        <w:rPr>
          <w:rFonts w:ascii="Times New Roman" w:cs="Times New Roman" w:eastAsia="Times New Roman" w:hAnsi="Times New Roman"/>
          <w:sz w:val="14"/>
          <w:szCs w:val="14"/>
          <w:color w:val="auto"/>
        </w:rPr>
        <w:t>No dealer, salesperson or other person is authorized to give any information or to represent anything not contained in or incorporated by reference into this prospectus or any accompanying prospectus supplement. You must not rely on any unauthorized information or representations. This prospectus or any accompanying prospectus supplement does not offer to sell or ask for offers to buy any securities other than those to which it relates and it does not constitute an offer to sell or ask for offers to buy any of the securities in any jurisdiction where it is unlawful, where the person making the offer is not qualified to do so, or to any person who cannot legally be offered the securities. The information contained in this prospectus, any accompanying prospectus supplement or any document incorporated by reference herein or therein is current only as of its date. Our business, financial condition, results of operations and prospects may have changed since those dates.</w:t>
      </w:r>
    </w:p>
    <w:p>
      <w:pPr>
        <w:spacing w:after="0" w:line="145" w:lineRule="exact"/>
        <w:rPr>
          <w:sz w:val="20"/>
          <w:szCs w:val="20"/>
          <w:color w:val="auto"/>
        </w:rPr>
      </w:pPr>
    </w:p>
    <w:p>
      <w:pPr>
        <w:ind w:left="1320" w:right="519" w:firstLine="346"/>
        <w:spacing w:after="0" w:line="269" w:lineRule="auto"/>
        <w:rPr>
          <w:sz w:val="20"/>
          <w:szCs w:val="20"/>
          <w:color w:val="auto"/>
        </w:rPr>
      </w:pPr>
      <w:r>
        <w:rPr>
          <w:rFonts w:ascii="Times New Roman" w:cs="Times New Roman" w:eastAsia="Times New Roman" w:hAnsi="Times New Roman"/>
          <w:sz w:val="14"/>
          <w:szCs w:val="14"/>
          <w:color w:val="auto"/>
        </w:rPr>
        <w:t>In this prospectus, except as otherwise indicated or as the context otherwise requires, “EKC” refers to Eastman Kodak Company on an unconsolidated basis and the words “Kodak,” “we,” “us,” “our,” the “Company” and “ours” refer to Eastman Kodak Company and its consolidated subsidiaries.</w:t>
      </w:r>
    </w:p>
    <w:p>
      <w:pPr>
        <w:spacing w:after="0" w:line="3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and we have filed with the SEC a registration statement on Form S-3 under the Securities Act of 1933, as amended (the “Securities Act”), with respect to our common stock offered by this prospectus. This prospectus, which forms part of the registration statement, does not contain all of the information included in the registration statement, including its exhibits and schedules. For further information about us and our common stock described in this prospectus, you should refer to the registration statement, its exhibits and schedules and our reports, proxy statements, information statements and other information filed with the SEC. The SEC maintains an internet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from which you can electronically access these materials.</w:t>
      </w:r>
    </w:p>
    <w:p>
      <w:pPr>
        <w:spacing w:after="0" w:line="31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0"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a part of this prospectus, except any information that is superseded by information that is included in a document subsequently filed with the SEC.</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our common stock, except that we are not incorporating by reference any information furnished (and not filed) with the SEC, including our Compensation Committee report and performance graph or any information furnished pursuant to Items 2.02 or 7.01 of Form 8-K or related exhibits furnished pursuant to Item 9.01 of Form 8-K:</w:t>
      </w:r>
    </w:p>
    <w:p>
      <w:pPr>
        <w:spacing w:after="0" w:line="68" w:lineRule="exact"/>
        <w:rPr>
          <w:sz w:val="20"/>
          <w:szCs w:val="20"/>
          <w:color w:val="auto"/>
        </w:rPr>
      </w:pPr>
    </w:p>
    <w:p>
      <w:pPr>
        <w:ind w:left="2080" w:right="53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including the portions of our </w:t>
      </w:r>
      <w:hyperlink r:id="rId26">
        <w:r>
          <w:rPr>
            <w:rFonts w:ascii="Times New Roman" w:cs="Times New Roman" w:eastAsia="Times New Roman" w:hAnsi="Times New Roman"/>
            <w:sz w:val="14"/>
            <w:szCs w:val="14"/>
            <w:u w:val="single" w:color="auto"/>
            <w:color w:val="0000EE"/>
          </w:rPr>
          <w:t>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our 2026 annual meeting of shareholders incorporated by reference therein;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quarterly period ended </w:t>
      </w:r>
      <w:hyperlink r:id="rId27">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28">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EE"/>
          </w:rPr>
          <w:t>February 27,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0">
        <w:r>
          <w:rPr>
            <w:rFonts w:ascii="Times New Roman" w:cs="Times New Roman" w:eastAsia="Times New Roman" w:hAnsi="Times New Roman"/>
            <w:sz w:val="14"/>
            <w:szCs w:val="14"/>
            <w:u w:val="single" w:color="auto"/>
            <w:color w:val="0000EE"/>
          </w:rPr>
          <w:t>May 22, 2026</w:t>
        </w:r>
      </w:hyperlink>
      <w:r>
        <w:rPr>
          <w:rFonts w:ascii="Times New Roman" w:cs="Times New Roman" w:eastAsia="Times New Roman" w:hAnsi="Times New Roman"/>
          <w:sz w:val="14"/>
          <w:szCs w:val="14"/>
          <w:color w:val="auto"/>
        </w:rPr>
        <w:t>; and</w:t>
      </w:r>
    </w:p>
    <w:p>
      <w:pPr>
        <w:spacing w:after="0" w:line="104" w:lineRule="exact"/>
        <w:rPr>
          <w:rFonts w:ascii="Times New Roman" w:cs="Times New Roman" w:eastAsia="Times New Roman" w:hAnsi="Times New Roman"/>
          <w:sz w:val="14"/>
          <w:szCs w:val="14"/>
          <w:color w:val="auto"/>
        </w:rPr>
      </w:pPr>
    </w:p>
    <w:p>
      <w:pPr>
        <w:ind w:left="2080" w:right="439" w:hanging="337"/>
        <w:spacing w:after="0" w:line="264"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31">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September 3, 2013, including the description of our common stock contained in our Registration Statement on </w:t>
      </w:r>
      <w:hyperlink r:id="rId32">
        <w:r>
          <w:rPr>
            <w:rFonts w:ascii="Times New Roman" w:cs="Times New Roman" w:eastAsia="Times New Roman" w:hAnsi="Times New Roman"/>
            <w:sz w:val="14"/>
            <w:szCs w:val="14"/>
            <w:u w:val="single" w:color="auto"/>
            <w:color w:val="0000EE"/>
          </w:rPr>
          <w:t>Form S-8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September 3, 2013 and incorporated by reference therein, as updated by </w:t>
      </w:r>
      <w:hyperlink r:id="rId33">
        <w:r>
          <w:rPr>
            <w:rFonts w:ascii="Times New Roman" w:cs="Times New Roman" w:eastAsia="Times New Roman" w:hAnsi="Times New Roman"/>
            <w:sz w:val="14"/>
            <w:szCs w:val="14"/>
            <w:u w:val="single" w:color="auto"/>
            <w:color w:val="0000EE"/>
          </w:rPr>
          <w:t>Exhibit 4.9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and any subsequent amendments or reports filed for the purpose of updating that description.</w:t>
      </w:r>
    </w:p>
    <w:p>
      <w:pPr>
        <w:spacing w:after="0" w:line="140" w:lineRule="exact"/>
        <w:rPr>
          <w:rFonts w:ascii="Times New Roman" w:cs="Times New Roman" w:eastAsia="Times New Roman" w:hAnsi="Times New Roman"/>
          <w:sz w:val="14"/>
          <w:szCs w:val="14"/>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spacing w:after="0" w:line="140" w:lineRule="exact"/>
        <w:rPr>
          <w:rFonts w:ascii="Times New Roman" w:cs="Times New Roman" w:eastAsia="Times New Roman" w:hAnsi="Times New Roman"/>
          <w:sz w:val="14"/>
          <w:szCs w:val="14"/>
          <w:color w:val="auto"/>
        </w:rPr>
      </w:pPr>
    </w:p>
    <w:p>
      <w:pPr>
        <w:ind w:left="1320" w:right="479" w:firstLine="346"/>
        <w:spacing w:after="0" w:line="286" w:lineRule="auto"/>
        <w:rPr>
          <w:sz w:val="20"/>
          <w:szCs w:val="20"/>
          <w:color w:val="auto"/>
        </w:rPr>
      </w:pPr>
      <w:r>
        <w:rPr>
          <w:rFonts w:ascii="Times New Roman" w:cs="Times New Roman" w:eastAsia="Times New Roman" w:hAnsi="Times New Roman"/>
          <w:sz w:val="14"/>
          <w:szCs w:val="14"/>
          <w:color w:val="auto"/>
        </w:rPr>
        <w:t>A copy of any document incorporated by reference in this prospectus may be obtained at no cost by writing or telephoning us at the following address and telephone number:</w:t>
      </w:r>
    </w:p>
    <w:p>
      <w:pPr>
        <w:spacing w:after="0" w:line="40"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Eastman Kodak Company</w:t>
      </w:r>
    </w:p>
    <w:p>
      <w:pPr>
        <w:spacing w:after="0" w:line="2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343 State Street</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Rochester, NY 14650</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Roger W. Byrd</w:t>
      </w:r>
    </w:p>
    <w:p>
      <w:pPr>
        <w:spacing w:after="0" w:line="9"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Phone: (800) 356-3259</w:t>
      </w:r>
    </w:p>
    <w:p>
      <w:pPr>
        <w:spacing w:after="0" w:line="162" w:lineRule="exact"/>
        <w:rPr>
          <w:rFonts w:ascii="Times New Roman" w:cs="Times New Roman" w:eastAsia="Times New Roman" w:hAnsi="Times New Roman"/>
          <w:sz w:val="14"/>
          <w:szCs w:val="14"/>
          <w:color w:val="auto"/>
        </w:rPr>
      </w:pPr>
    </w:p>
    <w:p>
      <w:pPr>
        <w:ind w:left="1320" w:right="299" w:firstLine="346"/>
        <w:spacing w:after="0" w:line="265" w:lineRule="auto"/>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www.Kodak.com</w:t>
      </w:r>
      <w:r>
        <w:rPr>
          <w:rFonts w:ascii="Times New Roman" w:cs="Times New Roman" w:eastAsia="Times New Roman" w:hAnsi="Times New Roman"/>
          <w:sz w:val="14"/>
          <w:szCs w:val="14"/>
          <w:color w:val="auto"/>
        </w:rPr>
        <w:t>.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39" w:lineRule="exact"/>
        <w:rPr>
          <w:rFonts w:ascii="Times New Roman" w:cs="Times New Roman" w:eastAsia="Times New Roman" w:hAnsi="Times New Roman"/>
          <w:sz w:val="14"/>
          <w:szCs w:val="14"/>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You may read and copy any materials we file with the SEC at the SEC’s website or at the SEC’s offices mentioned under the heading “Where You Can Find More Information.” The information on the SEC’s website is not incorporated by reference in this prospectus.</w:t>
      </w:r>
    </w:p>
    <w:p>
      <w:pPr>
        <w:spacing w:after="0" w:line="72"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80" w:lineRule="exact"/>
        <w:rPr>
          <w:sz w:val="20"/>
          <w:szCs w:val="20"/>
          <w:color w:val="auto"/>
        </w:rPr>
      </w:pPr>
    </w:p>
    <w:p>
      <w:pPr>
        <w:ind w:left="1320" w:right="519" w:firstLine="346"/>
        <w:spacing w:after="0" w:line="286"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include “forward-looking statements” as that term is defined under the Private Securities Litigation Reform Act of 1995.</w:t>
      </w:r>
    </w:p>
    <w:p>
      <w:pPr>
        <w:spacing w:after="0" w:line="125"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this prospectus, in our Annual Report on Form 10-K for the year ended December 31, 2025 under the headings “Business,” “Risk Factors,” “Legal Proceedings,” and/or “Management’s Discussion and Analysis of Financial Condition and Results of Operations–Liquidity and Capital Resources,” in the corresponding sections of Kodak’s Quarterly Report on Form 10-Q for the quarter ended March 31, 2026, and in other filings Kodak makes with the SEC from time to time, as well as the following:</w:t>
      </w:r>
    </w:p>
    <w:p>
      <w:pPr>
        <w:spacing w:after="0" w:line="77" w:lineRule="exact"/>
        <w:rPr>
          <w:sz w:val="20"/>
          <w:szCs w:val="20"/>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improve and sustain its operating structure, cash flow, profitability and other financial results;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achieve strategic objectives, cash forecasts, financial projections, and projected growth;</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achieve the financial and operational results contained in its business plans;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commodity prices, tariff rates, foreign currency exchange rates and interest rates;</w:t>
      </w:r>
    </w:p>
    <w:p>
      <w:pPr>
        <w:spacing w:after="0" w:line="104" w:lineRule="exact"/>
        <w:rPr>
          <w:rFonts w:ascii="Times New Roman" w:cs="Times New Roman" w:eastAsia="Times New Roman" w:hAnsi="Times New Roman"/>
          <w:sz w:val="14"/>
          <w:szCs w:val="14"/>
          <w:color w:val="auto"/>
        </w:rPr>
      </w:pPr>
    </w:p>
    <w:p>
      <w:pPr>
        <w:jc w:val="both"/>
        <w:ind w:left="2080" w:right="319" w:hanging="337"/>
        <w:spacing w:after="0" w:line="264"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global economic environment, including geopolitical issues, inflationary pressures,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w:t>
      </w:r>
    </w:p>
    <w:p>
      <w:pPr>
        <w:spacing w:after="0" w:line="65"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spacing w:after="0" w:line="50"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fund continued investments, capital needs and collateral requirements and service its debt and Series B Preferred Stock (as defined herein);</w:t>
      </w:r>
    </w:p>
    <w:p>
      <w:pPr>
        <w:spacing w:after="0" w:line="50" w:lineRule="exact"/>
        <w:rPr>
          <w:rFonts w:ascii="Times New Roman" w:cs="Times New Roman" w:eastAsia="Times New Roman" w:hAnsi="Times New Roman"/>
          <w:sz w:val="14"/>
          <w:szCs w:val="14"/>
          <w:color w:val="auto"/>
        </w:rPr>
      </w:pPr>
    </w:p>
    <w:p>
      <w:pPr>
        <w:ind w:left="2080" w:right="45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effectively compete with large, well-financed industry participants or with competitors whose cost structure is lower than Kodak’s;</w:t>
      </w:r>
    </w:p>
    <w:p>
      <w:pPr>
        <w:spacing w:after="0" w:line="50"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w:t>
      </w:r>
    </w:p>
    <w:p>
      <w:pPr>
        <w:spacing w:after="0" w:line="65"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spacing w:after="0" w:line="62"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effect strategic transactions, such as investments, acquisitions, strategic alliances, divestitures and similar transactions, or to achieve the benefits sought to be achieved from such strategic transactions;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comply with the covenants in its various credit facilities;</w:t>
      </w:r>
    </w:p>
    <w:p>
      <w:pPr>
        <w:spacing w:after="0" w:line="104" w:lineRule="exact"/>
        <w:rPr>
          <w:rFonts w:ascii="Times New Roman" w:cs="Times New Roman" w:eastAsia="Times New Roman" w:hAnsi="Times New Roman"/>
          <w:sz w:val="14"/>
          <w:szCs w:val="14"/>
          <w:color w:val="auto"/>
        </w:rPr>
      </w:pPr>
    </w:p>
    <w:p>
      <w:pPr>
        <w:ind w:left="2080" w:right="65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continued ability to manage, defend and resolve a variety of current and legacy claims without incurring material losses or disruptions to its business and to bear the costs associated with such claims;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Kodak’s ability to discontinue, sell or spin-off certain non-core businesses or operations, or otherwise monetize assets; and</w:t>
      </w:r>
    </w:p>
    <w:p>
      <w:pPr>
        <w:spacing w:after="0" w:line="104"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of force majeure events, cyber-attacks or other data security incidents or IT outages that could disrupt or otherwise harm Kodak’s operations.</w:t>
      </w:r>
    </w:p>
    <w:p>
      <w:pPr>
        <w:spacing w:after="0" w:line="125"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Future events and other factors may cause Kodak’s actual results to differ materially from the forward-looking statements. All forward-looking statements attributable to Kodak or persons acting on its behalf apply only as of the date of this prospectus or, with respect to any forward-looking statements included in a document incorporated by reference, as of the date thereof and are expressly qualified in their entirety by the cautionary statements included or referenced in this prospectus. Kodak undertakes no obligation to update or revise forward-looking statements to reflect events or circumstances that arise after the date made or to reflect the occurrence of unanticipated events, except as required by law.</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320" w:right="219" w:firstLine="346"/>
        <w:spacing w:after="0" w:line="264" w:lineRule="auto"/>
        <w:rPr>
          <w:sz w:val="20"/>
          <w:szCs w:val="20"/>
          <w:color w:val="auto"/>
        </w:rPr>
      </w:pPr>
      <w:r>
        <w:rPr>
          <w:rFonts w:ascii="Times New Roman" w:cs="Times New Roman" w:eastAsia="Times New Roman" w:hAnsi="Times New Roman"/>
          <w:sz w:val="14"/>
          <w:szCs w:val="14"/>
          <w:color w:val="auto"/>
        </w:rPr>
        <w:t>Kodak is a global manufacturer focused on commercial print and advanced materials and chemicals. With 79,000 patents earned over 130 years of research and development, Kodak believes in the power of technology and science to enhance what the world sees and creates. Kodak’s innovative, award-winning products, combined with its customer-first approach, make us the partner of choice for commercial printers worldwide. Kodak is committed to environmental stewardship, including industry leadership in developing sustainable solutions for print.</w:t>
      </w:r>
    </w:p>
    <w:p>
      <w:pPr>
        <w:spacing w:after="0" w:line="140" w:lineRule="exact"/>
        <w:rPr>
          <w:sz w:val="20"/>
          <w:szCs w:val="20"/>
          <w:color w:val="auto"/>
        </w:rPr>
      </w:pPr>
    </w:p>
    <w:p>
      <w:pPr>
        <w:ind w:left="1320" w:right="819" w:firstLine="346"/>
        <w:spacing w:after="0" w:line="286" w:lineRule="auto"/>
        <w:rPr>
          <w:sz w:val="20"/>
          <w:szCs w:val="20"/>
          <w:color w:val="auto"/>
        </w:rPr>
      </w:pPr>
      <w:r>
        <w:rPr>
          <w:rFonts w:ascii="Times New Roman" w:cs="Times New Roman" w:eastAsia="Times New Roman" w:hAnsi="Times New Roman"/>
          <w:sz w:val="14"/>
          <w:szCs w:val="14"/>
          <w:color w:val="auto"/>
        </w:rPr>
        <w:t>The Company was founded by George Eastman in 1880 and incorporated in 1901 in the State of New Jersey. Kodak is headquartered in Rochester, New York.</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principal executive office is located at 343 State Street, Rochester, New York 14650, and our telephone number is (800) 356-3259.</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320" w:right="199" w:firstLine="346"/>
        <w:spacing w:after="0" w:line="258" w:lineRule="auto"/>
        <w:rPr>
          <w:sz w:val="20"/>
          <w:szCs w:val="20"/>
          <w:color w:val="auto"/>
        </w:rPr>
      </w:pPr>
      <w:r>
        <w:rPr>
          <w:rFonts w:ascii="Times New Roman" w:cs="Times New Roman" w:eastAsia="Times New Roman" w:hAnsi="Times New Roman"/>
          <w:sz w:val="14"/>
          <w:szCs w:val="14"/>
          <w:color w:val="auto"/>
        </w:rPr>
        <w:t>Investing in our common stock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our common stock. Our financial condition, results of operations or cash flows could be materially adversely affected by any of these risks. The risks and uncertainties described in the documents incorporated by reference herein are not the only risks and uncertainties that we may face. For more information about our SEC filings, please see “Where You Can Find More Information” and “Incorporation of Certain Information by Reference.”</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The shares of common stock offered hereby are being registered for the account of the selling shareholders identified in this prospectus. See “Selling Shareholders.” All net proceeds from the sale of the shares of common stock will go to the selling shareholders. We will not receive any part of the proceeds from such sale of common stock.</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80" w:lineRule="exact"/>
        <w:rPr>
          <w:sz w:val="20"/>
          <w:szCs w:val="20"/>
          <w:color w:val="auto"/>
        </w:rPr>
      </w:pPr>
    </w:p>
    <w:p>
      <w:pPr>
        <w:jc w:val="both"/>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This prospectus relates to the possible resale by the selling shareholders named below of up to 4,426,268 shares of our common stock, subject to adjustments for stock splits, stock dividends and reclassifications and similar transactions, that (a) were issued and outstanding prior to the original date of filing of the registration statement of which this prospectus forms a part (the “Filing Date”), or (b) are issuable upon conversion or exchange of Series B Preferred Stock that (i) were issued and outstanding prior to the Filing Date, (ii) have been contracted to be issued and sold prior to the Filing Date, or (iii) are issuable as dividends or interest payable in kind prior to the mandatory redemption date or maturity date of such Series B Preferred Stock.</w:t>
      </w:r>
    </w:p>
    <w:p>
      <w:pPr>
        <w:spacing w:after="0" w:line="142" w:lineRule="exact"/>
        <w:rPr>
          <w:sz w:val="20"/>
          <w:szCs w:val="20"/>
          <w:color w:val="auto"/>
        </w:rPr>
      </w:pPr>
    </w:p>
    <w:p>
      <w:pPr>
        <w:ind w:left="1320" w:right="339" w:firstLine="346"/>
        <w:spacing w:after="0" w:line="269" w:lineRule="auto"/>
        <w:rPr>
          <w:sz w:val="20"/>
          <w:szCs w:val="20"/>
          <w:color w:val="auto"/>
        </w:rPr>
      </w:pPr>
      <w:r>
        <w:rPr>
          <w:rFonts w:ascii="Times New Roman" w:cs="Times New Roman" w:eastAsia="Times New Roman" w:hAnsi="Times New Roman"/>
          <w:sz w:val="14"/>
          <w:szCs w:val="14"/>
          <w:color w:val="auto"/>
        </w:rPr>
        <w:t>The following table sets forth the names of the selling shareholders (and/or the beneficial owners) and the number of shares of common stock beneficially owned by each of them as of the Filing Date. The shares being registered are being registered in order to fulfill our contractual obligations under each of the following registration rights agreements:</w:t>
      </w:r>
    </w:p>
    <w:p>
      <w:pPr>
        <w:spacing w:after="0" w:line="63" w:lineRule="exact"/>
        <w:rPr>
          <w:sz w:val="20"/>
          <w:szCs w:val="20"/>
          <w:color w:val="auto"/>
        </w:rPr>
      </w:pPr>
    </w:p>
    <w:p>
      <w:pPr>
        <w:ind w:left="2080" w:right="199" w:hanging="422"/>
        <w:spacing w:after="0" w:line="264"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amended and restated registration rights agreement, dated as of August 8, 2025, with GO EK Ventures IV, LLC (“GO EK Ventures”), a fund managed by Grand Oaks Capital, providing GO EK Ventures with registration rights in respect of 15,103,163 shares of common stock issued upon the exchange of 1,241,871 shares of Series C Preferred Stock pursuant to a Series C Preferred Stock exchange agreement, dated as of August 8, 2025, with GO EK Ventures; and</w:t>
      </w:r>
    </w:p>
    <w:p>
      <w:pPr>
        <w:spacing w:after="0" w:line="65" w:lineRule="exact"/>
        <w:rPr>
          <w:rFonts w:ascii="Times New Roman" w:cs="Times New Roman" w:eastAsia="Times New Roman" w:hAnsi="Times New Roman"/>
          <w:sz w:val="14"/>
          <w:szCs w:val="14"/>
          <w:color w:val="auto"/>
        </w:rPr>
      </w:pPr>
    </w:p>
    <w:p>
      <w:pPr>
        <w:ind w:left="2080" w:right="359" w:hanging="422"/>
        <w:spacing w:after="0" w:line="269"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registration rights agreement, dated as of March 11, 2026, with Kennedy Lewis Investment Management LLC (“KLIM”), providing certain funds managed, advised or sub-advised by KLIM with registration rights in respect of shares of common stock issuable upon conversion or exchange of any shares of Series B Preferred Stock held by such funds or shares of our common stock held by such funds.</w:t>
      </w:r>
    </w:p>
    <w:p>
      <w:pPr>
        <w:spacing w:after="0" w:line="137"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Information in the table below with respect to beneficial ownership has been furnished by each of the selling shareholders. Except as described above, there are currently no agreements, arrangements or understandings with respect to the sale of any of the shares of common stock registered hereunder. The shares are being registered to permit public secondary trading of the shares, and selling shareholders may offer the shares for resale from time to time. Beneficial ownership reflected in the table below includes the total shares held by each selling shareholder and such selling shareholder’s affiliates. Beneficial ownership is determined in accordance with the rules and regulations of the SEC.</w:t>
      </w:r>
    </w:p>
    <w:p>
      <w:pPr>
        <w:spacing w:after="0" w:line="142" w:lineRule="exact"/>
        <w:rPr>
          <w:sz w:val="20"/>
          <w:szCs w:val="20"/>
          <w:color w:val="auto"/>
        </w:rPr>
      </w:pPr>
    </w:p>
    <w:p>
      <w:pPr>
        <w:jc w:val="both"/>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The selling shareholders listed in the table below may have sold, transferred, otherwise disposed of or purchased, or may sell, transfer, otherwise dispose of or purchase, at any time and from time to time, shares of our common stock in transactions exempt from the registration requirements of the Securities Act or in the open market after the date on which they provided the information set forth in the table below.</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firstLine="346"/>
        <w:spacing w:after="0" w:line="264" w:lineRule="auto"/>
        <w:rPr>
          <w:sz w:val="20"/>
          <w:szCs w:val="20"/>
          <w:color w:val="auto"/>
        </w:rPr>
      </w:pPr>
      <w:r>
        <w:rPr>
          <w:rFonts w:ascii="Times New Roman" w:cs="Times New Roman" w:eastAsia="Times New Roman" w:hAnsi="Times New Roman"/>
          <w:sz w:val="14"/>
          <w:szCs w:val="14"/>
          <w:color w:val="auto"/>
        </w:rPr>
        <w:t>Information about additional selling shareholders, if any, including their identities and the common stock to be registered on their behalf, may be set forth in a prospectus supplement, in a post-effective amendment or in filings that we make with the SEC under the Exchange Act. Information concerning the selling shareholders may change from time to time. Any changes to the information provided below may be set forth in a supplement to this prospectus, in a post-effective amendment or in filings we make with the SEC under the Exchange Act.</w:t>
      </w:r>
    </w:p>
    <w:p>
      <w:pPr>
        <w:spacing w:after="0" w:line="140" w:lineRule="exact"/>
        <w:rPr>
          <w:sz w:val="20"/>
          <w:szCs w:val="20"/>
          <w:color w:val="auto"/>
        </w:rPr>
      </w:pPr>
    </w:p>
    <w:p>
      <w:pPr>
        <w:ind w:left="1320" w:right="299" w:firstLine="346"/>
        <w:spacing w:after="0" w:line="286" w:lineRule="auto"/>
        <w:rPr>
          <w:sz w:val="20"/>
          <w:szCs w:val="20"/>
          <w:color w:val="auto"/>
        </w:rPr>
      </w:pPr>
      <w:r>
        <w:rPr>
          <w:rFonts w:ascii="Times New Roman" w:cs="Times New Roman" w:eastAsia="Times New Roman" w:hAnsi="Times New Roman"/>
          <w:sz w:val="14"/>
          <w:szCs w:val="14"/>
          <w:color w:val="auto"/>
        </w:rPr>
        <w:t>Unless otherwise indicated and subject to applicable community property laws, to our knowledge, each shareholder named in the following table possesses sole voting and investment power over the shares listed.</w:t>
      </w:r>
    </w:p>
    <w:p>
      <w:pPr>
        <w:spacing w:after="0" w:line="125"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The selling shareholders named below and their permitted transferees, pledgees, donees or other successors may from time to time offer shares of common stock under this prospectus.</w:t>
      </w:r>
    </w:p>
    <w:p>
      <w:pPr>
        <w:spacing w:after="0" w:line="132"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7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8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Common</w:t>
            </w:r>
          </w:p>
        </w:tc>
        <w:tc>
          <w:tcPr>
            <w:tcW w:w="11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700" w:type="dxa"/>
            <w:vAlign w:val="bottom"/>
          </w:tcPr>
          <w:p>
            <w:pPr>
              <w:spacing w:after="0"/>
              <w:rPr>
                <w:sz w:val="3"/>
                <w:szCs w:val="3"/>
                <w:color w:val="auto"/>
              </w:rPr>
            </w:pPr>
          </w:p>
        </w:tc>
        <w:tc>
          <w:tcPr>
            <w:tcW w:w="1700" w:type="dxa"/>
            <w:vAlign w:val="bottom"/>
            <w:gridSpan w:val="4"/>
            <w:vMerge w:val="continue"/>
          </w:tcPr>
          <w:p>
            <w:pPr>
              <w:spacing w:after="0"/>
              <w:rPr>
                <w:sz w:val="3"/>
                <w:szCs w:val="3"/>
                <w:color w:val="auto"/>
              </w:rPr>
            </w:pPr>
          </w:p>
        </w:tc>
        <w:tc>
          <w:tcPr>
            <w:tcW w:w="820" w:type="dxa"/>
            <w:vAlign w:val="bottom"/>
            <w:gridSpan w:val="2"/>
            <w:vMerge w:val="restart"/>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80" w:type="dxa"/>
            <w:vAlign w:val="bottom"/>
          </w:tcPr>
          <w:p>
            <w:pPr>
              <w:spacing w:after="0"/>
              <w:rPr>
                <w:sz w:val="6"/>
                <w:szCs w:val="6"/>
                <w:color w:val="auto"/>
              </w:rPr>
            </w:pPr>
          </w:p>
        </w:tc>
        <w:tc>
          <w:tcPr>
            <w:tcW w:w="4700" w:type="dxa"/>
            <w:vAlign w:val="bottom"/>
          </w:tcPr>
          <w:p>
            <w:pPr>
              <w:spacing w:after="0"/>
              <w:rPr>
                <w:sz w:val="6"/>
                <w:szCs w:val="6"/>
                <w:color w:val="auto"/>
              </w:rPr>
            </w:pPr>
          </w:p>
        </w:tc>
        <w:tc>
          <w:tcPr>
            <w:tcW w:w="880" w:type="dxa"/>
            <w:vAlign w:val="bottom"/>
            <w:gridSpan w:val="2"/>
            <w:vMerge w:val="restart"/>
          </w:tcPr>
          <w:p>
            <w:pPr>
              <w:jc w:val="center"/>
              <w:ind w:left="435"/>
              <w:spacing w:after="0" w:line="117" w:lineRule="exact"/>
              <w:rPr>
                <w:sz w:val="20"/>
                <w:szCs w:val="20"/>
                <w:color w:val="auto"/>
              </w:rPr>
            </w:pPr>
            <w:r>
              <w:rPr>
                <w:rFonts w:ascii="Times New Roman" w:cs="Times New Roman" w:eastAsia="Times New Roman" w:hAnsi="Times New Roman"/>
                <w:sz w:val="11"/>
                <w:szCs w:val="11"/>
                <w:b w:val="1"/>
                <w:bCs w:val="1"/>
                <w:color w:val="auto"/>
              </w:rPr>
              <w:t>Owned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40" w:type="dxa"/>
            <w:vAlign w:val="bottom"/>
            <w:gridSpan w:val="4"/>
            <w:vMerge w:val="restart"/>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42"/>
        </w:trPr>
        <w:tc>
          <w:tcPr>
            <w:tcW w:w="280" w:type="dxa"/>
            <w:vAlign w:val="bottom"/>
          </w:tcPr>
          <w:p>
            <w:pPr>
              <w:spacing w:after="0"/>
              <w:rPr>
                <w:sz w:val="3"/>
                <w:szCs w:val="3"/>
                <w:color w:val="auto"/>
              </w:rPr>
            </w:pPr>
          </w:p>
        </w:tc>
        <w:tc>
          <w:tcPr>
            <w:tcW w:w="47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vMerge w:val="restart"/>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May be</w:t>
            </w:r>
          </w:p>
        </w:tc>
        <w:tc>
          <w:tcPr>
            <w:tcW w:w="1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8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Prior to This Offering</w:t>
            </w:r>
          </w:p>
        </w:tc>
        <w:tc>
          <w:tcPr>
            <w:tcW w:w="32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After This Offering+</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380" w:type="dxa"/>
            <w:vAlign w:val="bottom"/>
            <w:tcBorders>
              <w:bottom w:val="single" w:sz="8" w:color="auto"/>
            </w:tcBorders>
            <w:gridSpan w:val="3"/>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restart"/>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Sold</w:t>
            </w:r>
          </w:p>
        </w:tc>
        <w:tc>
          <w:tcPr>
            <w:tcW w:w="1100" w:type="dxa"/>
            <w:vAlign w:val="bottom"/>
            <w:tcBorders>
              <w:bottom w:val="single" w:sz="8" w:color="auto"/>
            </w:tcBorders>
            <w:gridSpan w:val="3"/>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8"/>
              </w:rPr>
              <w:t>Percent(1)</w:t>
            </w:r>
          </w:p>
        </w:tc>
        <w:tc>
          <w:tcPr>
            <w:tcW w:w="820" w:type="dxa"/>
            <w:vAlign w:val="bottom"/>
            <w:gridSpan w:val="2"/>
            <w:vMerge w:val="continue"/>
          </w:tcPr>
          <w:p>
            <w:pPr>
              <w:spacing w:after="0"/>
              <w:rPr>
                <w:sz w:val="3"/>
                <w:szCs w:val="3"/>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Percent(1)</w:t>
            </w:r>
          </w:p>
        </w:tc>
        <w:tc>
          <w:tcPr>
            <w:tcW w:w="0" w:type="dxa"/>
            <w:vAlign w:val="bottom"/>
          </w:tcPr>
          <w:p>
            <w:pPr>
              <w:spacing w:after="0" w:line="20" w:lineRule="exact"/>
              <w:rPr>
                <w:sz w:val="1"/>
                <w:szCs w:val="1"/>
                <w:color w:val="auto"/>
              </w:rPr>
            </w:pPr>
          </w:p>
        </w:tc>
      </w:tr>
      <w:tr>
        <w:trPr>
          <w:trHeight w:val="125"/>
        </w:trPr>
        <w:tc>
          <w:tcPr>
            <w:tcW w:w="49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Hereby</w:t>
            </w:r>
          </w:p>
        </w:tc>
        <w:tc>
          <w:tcPr>
            <w:tcW w:w="60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GO EK Ventures IV, LLC(2)</w:t>
            </w:r>
          </w:p>
        </w:tc>
        <w:tc>
          <w:tcPr>
            <w:tcW w:w="6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15,103,163</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15.43%</w:t>
            </w:r>
          </w:p>
        </w:tc>
        <w:tc>
          <w:tcPr>
            <w:tcW w:w="6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766,241</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Kennedy Lewis Capital Partners Master Fund II LP(3)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1,909,266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1,106,266</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Kennedy Lewis Capital Partners Master Fund III LP(3)(4)(5)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5,059,236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2,306,676</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KLCP Co-Investment Opportunities III LP(3)(4)(6)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1,873,845</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174,045</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KLIM Delta HQC3 LP(3)(4)(6)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726,224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67,452</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Kennedy Lewis (EU) SPV LP(3)(4)(6)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60,159</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5,588</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58420</wp:posOffset>
            </wp:positionV>
            <wp:extent cx="60579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99" w:lineRule="exact"/>
        <w:rPr>
          <w:sz w:val="20"/>
          <w:szCs w:val="20"/>
          <w:color w:val="auto"/>
        </w:rPr>
      </w:pPr>
    </w:p>
    <w:p>
      <w:pPr>
        <w:ind w:left="1660" w:right="259" w:hanging="341"/>
        <w:spacing w:after="0" w:line="256"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and sale of additional shares of our common stock by certain selling shareholders are registered pursuant to a complementary Registration Statement on Form S-3 (Registration No. 333-254352, the “Complementary Registration Statement”). Assumes that the selling shareholders will sell all shares of their common stock included in the Registration Statement of which this prospectus forms a part and the Complementary Registration Statement. If the shares subject to the Complementary Registration Statement are not sold by the applicable selling shareholders, such shareholders would beneficially own the following shares and percentages (calculated as described in footnote (1) below) after this offering: GO EK Ventures IV, LLC – 14,336,922 shares (14.64%); Kennedy Lewis Capital Partners Master Fund II LP – 803,000 shares (less</w:t>
      </w:r>
    </w:p>
    <w:p>
      <w:pPr>
        <w:spacing w:after="0" w:line="2" w:lineRule="exact"/>
        <w:rPr>
          <w:sz w:val="20"/>
          <w:szCs w:val="20"/>
          <w:color w:val="auto"/>
        </w:rPr>
      </w:pPr>
    </w:p>
    <w:p>
      <w:pPr>
        <w:ind w:left="1660" w:right="339"/>
        <w:spacing w:after="0" w:line="252" w:lineRule="auto"/>
        <w:rPr>
          <w:sz w:val="20"/>
          <w:szCs w:val="20"/>
          <w:color w:val="auto"/>
        </w:rPr>
      </w:pPr>
      <w:r>
        <w:rPr>
          <w:rFonts w:ascii="Times New Roman" w:cs="Times New Roman" w:eastAsia="Times New Roman" w:hAnsi="Times New Roman"/>
          <w:sz w:val="14"/>
          <w:szCs w:val="14"/>
          <w:color w:val="auto"/>
        </w:rPr>
        <w:t>than 1%); Kennedy Lewis Capital Partners Master Fund III LP – 5,059,236 shares (4.99%); KLCP Co-Investment Opportunities III LP – 1,699,800 shares (1.70%); KLIM Delta HQC3 LP – 658,772 shares (less than 1%); and Kennedy Lewis (EU) SPV LP – 54,571 shares (less than 1%). There is no assurance that the selling shareholders will resell all or any of their common stock.</w:t>
      </w:r>
    </w:p>
    <w:p>
      <w:pPr>
        <w:spacing w:after="0" w:line="2" w:lineRule="exact"/>
        <w:rPr>
          <w:sz w:val="20"/>
          <w:szCs w:val="20"/>
          <w:color w:val="auto"/>
        </w:rPr>
      </w:pPr>
    </w:p>
    <w:p>
      <w:pPr>
        <w:ind w:left="1660" w:hanging="341"/>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 w:lineRule="exact"/>
        <w:rPr>
          <w:sz w:val="20"/>
          <w:szCs w:val="20"/>
          <w:color w:val="auto"/>
        </w:rPr>
      </w:pPr>
    </w:p>
    <w:p>
      <w:pPr>
        <w:jc w:val="both"/>
        <w:ind w:left="1660" w:right="259" w:hanging="341"/>
        <w:spacing w:after="0" w:line="25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common stock is based on 97,906,876 shares of our common stock outstanding as of June 29, 2026. The calculation of percentages assumes the acquisition by each selling shareholder of all shares that may be acquired upon conversion of shares of Series B Preferred Stock held by such selling shareholder and assumes that the other holders of shares of Series B Preferred Stock do not convert such shares held by such other holders.</w:t>
      </w:r>
    </w:p>
    <w:p>
      <w:pPr>
        <w:spacing w:after="0" w:line="2" w:lineRule="exact"/>
        <w:rPr>
          <w:rFonts w:ascii="Times New Roman" w:cs="Times New Roman" w:eastAsia="Times New Roman" w:hAnsi="Times New Roman"/>
          <w:sz w:val="14"/>
          <w:szCs w:val="14"/>
          <w:color w:val="auto"/>
        </w:rPr>
      </w:pPr>
    </w:p>
    <w:p>
      <w:pPr>
        <w:ind w:left="1660" w:right="279" w:hanging="341"/>
        <w:spacing w:after="0" w:line="25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that may be sold hereby consists of 766,241 of the 15,103,163 shares of common stock issued to GO EK Ventures upon the exchange of 1,241,871 shares of Series C Preferred Stock pursuant to a Series C Preferred Stock exchange agreement, dated as of August 8, 2025, between the Company and GO EK Ventures. B. Thomas Golisano, as the sole member of GO EK Ventures, may make investment decisions on behalf of GO EK Ventures and as such may be deemed to have dispositive power over the shares held by GO EK Ventures. The address for GO EK Ventures is 7632 County Road 42, Victor, NY 14564.</w:t>
      </w:r>
    </w:p>
    <w:p>
      <w:pPr>
        <w:spacing w:after="0" w:line="2" w:lineRule="exact"/>
        <w:rPr>
          <w:rFonts w:ascii="Times New Roman" w:cs="Times New Roman" w:eastAsia="Times New Roman" w:hAnsi="Times New Roman"/>
          <w:sz w:val="14"/>
          <w:szCs w:val="14"/>
          <w:color w:val="auto"/>
        </w:rPr>
      </w:pPr>
    </w:p>
    <w:p>
      <w:pPr>
        <w:ind w:left="1660" w:right="259" w:hanging="341"/>
        <w:spacing w:after="0" w:line="25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Kennedy Lewis Management LP (the “Adviser”) is the investment adviser to Kennedy Lewis Capital Partners Master Fund II LP (“KLIM Fund II”), Kennedy Lewis Capital Partners Master Fund III LP (“KLIM Fund III”), KLCP Co-Investment Opportunities III LP (“KLCP Co-Invest”), KLIM Delta HQC3 LP (“KLIM Delta”), and Kennedy Lewis (EU) SPV LP (“EU SPV” and, together with KLIM Fund II, KLIM Fund III, KLCP Co-Invest and KLIM Delta, the “KLIM Funds”). KLM GP LLC (“KLM”) is the general partner of the Adviser. Kennedy Lewis Investment Management LLC (“Kennedy Lewis”) is the owner and control person of KLM. David K. Chene and Darren L. Richman are the managing members and control persons of Kennedy Lewis. Each of the Adviser, KLM and Kennedy Lewis may be deemed to exercise voting and investment power over securities held by each of the KLIM Funds due to their relationship with the KLIM Funds. David K. Chene and</w:t>
      </w:r>
    </w:p>
    <w:p>
      <w:pPr>
        <w:spacing w:after="0" w:line="3" w:lineRule="exact"/>
        <w:rPr>
          <w:rFonts w:ascii="Times New Roman" w:cs="Times New Roman" w:eastAsia="Times New Roman" w:hAnsi="Times New Roman"/>
          <w:sz w:val="14"/>
          <w:szCs w:val="14"/>
          <w:color w:val="auto"/>
        </w:rPr>
      </w:pPr>
    </w:p>
    <w:p>
      <w:pPr>
        <w:ind w:left="1660" w:right="1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Darren L. Richman, in their capacities as managing members of Kennedy Lewis and managing members of the managing members of the respective general partners of the KLIM Funds, may be deemed to exercise voting and investment power over securities held by each of the KLIM Funds due to their relationships with the KLIM Funds. The address for Kennedy Lewis is 111 West 33rd Street, Suite 1910, New York, NY 10120.</w:t>
      </w:r>
    </w:p>
    <w:p>
      <w:pPr>
        <w:spacing w:after="0" w:line="1" w:lineRule="exact"/>
        <w:rPr>
          <w:rFonts w:ascii="Times New Roman" w:cs="Times New Roman" w:eastAsia="Times New Roman" w:hAnsi="Times New Roman"/>
          <w:sz w:val="14"/>
          <w:szCs w:val="14"/>
          <w:color w:val="auto"/>
        </w:rPr>
      </w:pPr>
    </w:p>
    <w:p>
      <w:pPr>
        <w:ind w:left="1660" w:right="199" w:hanging="341"/>
        <w:spacing w:after="0" w:line="25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agreement among KLIM Fund III, KLCP Co-Invest, KLIM Delta and EU SPV (collectively, the “Series B Holders”), the Adviser and the Company, the Company will not effect any conversion of Series B Preferred Stock if after giving effect to such conversion, one of the Series B Holders (together with its affiliates and any members acting as a group) would beneficially own in excess of 4.99% of the number of shares of common stock outstanding (the “Beneficial Ownership Limit”). Accordingly, the shares and percentages of common stock reported in the table above as beneficially owned by the Series B Holders represent the maximum amounts that could be held by the Series B Holders after giving effect to the Beneficial Ownership Limit. The number and percentage of shares actually beneficially owned by each of the Series B Holders is contingent on the number of shares held by the other Series B Holders and their affiliates and any members acting as a group. As of June 29, 2026, based on the number of shares held by all of the KLIM Funds, the application of the Beneficial Ownership Limit would restrict the conversion of shares of Series B Preferred Stock to that number of shares that would result in an aggregate of 1,263,741 shares of common stock being issued to the Series B Holders.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right="339" w:hanging="341"/>
        <w:spacing w:after="0" w:line="257"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of common stock that may be sold hereby consists of (i) 1,578,606 shares of common stock acquired by KLIM Fund III in the open market, and (ii) 728,070 shares of common stock issuable upon the conversion or exchange of currently outstanding shares of Series B Preferred Stock. Number of shares beneficially owned represents 1,578,606 shares of common stock currently held by KLIM Fund III plus 3,480,630 shares issuable upon conversion of shares of Series B Preferred Stock to reach the Beneficial Ownership Limit. If the Beneficial Ownership Limit did not apply to KLIM Fund III, KLIM Fund III would beneficially own 9,417,342 shares of common stock (8.91%).</w:t>
      </w:r>
    </w:p>
    <w:p>
      <w:pPr>
        <w:ind w:left="1660" w:right="399" w:hanging="341"/>
        <w:spacing w:after="0" w:line="265"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beneficially owned represents shares issuable upon conversion of shares of Series B Preferred Stock and number of shares of common stock that may be sold hereby consists of a portion of those shares.</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320" w:right="279" w:firstLine="346"/>
        <w:spacing w:after="0" w:line="259" w:lineRule="auto"/>
        <w:rPr>
          <w:sz w:val="20"/>
          <w:szCs w:val="20"/>
          <w:color w:val="auto"/>
        </w:rPr>
      </w:pPr>
      <w:r>
        <w:rPr>
          <w:rFonts w:ascii="Times New Roman" w:cs="Times New Roman" w:eastAsia="Times New Roman" w:hAnsi="Times New Roman"/>
          <w:sz w:val="14"/>
          <w:szCs w:val="14"/>
          <w:color w:val="auto"/>
        </w:rPr>
        <w:t>The Company is authorized to issue up to 500,000,000 shares of common stock, par value $0.01 per share, and 60,000,000 shares of preferred stock, no par value per share. The rights of holders of the common stock are subject to the rights of holders of any series of preferred stock that may be issued from time to time (including the 1,000,000 shares of the Company’s currently outstanding 6.0% Series B Convertible Preferred Stock, no par value per share (the “Series B Preferred Stock”)), including liquidation rights, special voting rights and preferences with respect to payment of dividends. For a more detailed description of the terms of our capital stock, please refer to the Company’s Second Amended and Restated Certificate of Incorporation and amendments thereto (collectively, the “Certificate”) and the Fourth Amended and Restated By-Laws (the “By-Laws”).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5" w:lineRule="exact"/>
        <w:rPr>
          <w:sz w:val="20"/>
          <w:szCs w:val="20"/>
          <w:color w:val="auto"/>
        </w:rPr>
      </w:pPr>
    </w:p>
    <w:p>
      <w:pPr>
        <w:jc w:val="both"/>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Subject to applicable law and to the designated preferential rights of any outstanding series of preferred stock that the Board of Directors of the Company (the “Board”) may cause to be issued from time to time, the holders of common stock will be entitled to dividends as may be declared from time to time by the Board.</w:t>
      </w:r>
    </w:p>
    <w:p>
      <w:pPr>
        <w:spacing w:after="0" w:line="137" w:lineRule="exact"/>
        <w:rPr>
          <w:sz w:val="20"/>
          <w:szCs w:val="20"/>
          <w:color w:val="auto"/>
        </w:rPr>
      </w:pPr>
    </w:p>
    <w:p>
      <w:pPr>
        <w:ind w:left="1320" w:right="259" w:firstLine="346"/>
        <w:spacing w:after="0" w:line="264" w:lineRule="auto"/>
        <w:rPr>
          <w:sz w:val="20"/>
          <w:szCs w:val="20"/>
          <w:color w:val="auto"/>
        </w:rPr>
      </w:pPr>
      <w:r>
        <w:rPr>
          <w:rFonts w:ascii="Times New Roman" w:cs="Times New Roman" w:eastAsia="Times New Roman" w:hAnsi="Times New Roman"/>
          <w:sz w:val="14"/>
          <w:szCs w:val="14"/>
          <w:color w:val="auto"/>
        </w:rPr>
        <w:t>Holders of Series B Preferred Stock are entitled to receive dividends in an amount equal to the dividend rate of 6.0% per annum of the liquidation preference of $100.00 per share of Series B Preferred Stock. Dividends on the Series B Preferred Stock will be paid in cash if the Company has funds legally available for payment and the Board, or an authorized committee thereof, declares a cash dividend payable. Dividends on the Series B Preferred Stock not paid in cash will accumulate.</w:t>
      </w:r>
    </w:p>
    <w:p>
      <w:pPr>
        <w:spacing w:after="0" w:line="140" w:lineRule="exact"/>
        <w:rPr>
          <w:sz w:val="20"/>
          <w:szCs w:val="20"/>
          <w:color w:val="auto"/>
        </w:rPr>
      </w:pPr>
    </w:p>
    <w:p>
      <w:pPr>
        <w:jc w:val="both"/>
        <w:ind w:left="1320" w:right="439" w:firstLine="346"/>
        <w:spacing w:after="0" w:line="264" w:lineRule="auto"/>
        <w:rPr>
          <w:sz w:val="20"/>
          <w:szCs w:val="20"/>
          <w:color w:val="auto"/>
        </w:rPr>
      </w:pPr>
      <w:r>
        <w:rPr>
          <w:rFonts w:ascii="Times New Roman" w:cs="Times New Roman" w:eastAsia="Times New Roman" w:hAnsi="Times New Roman"/>
          <w:sz w:val="14"/>
          <w:szCs w:val="14"/>
          <w:color w:val="auto"/>
        </w:rPr>
        <w:t>Unless (i) all accumulated and unpaid dividends on the Series B Preferred Stock have been paid in full or a sum for such amounts has been set aside for payment or (ii) the Company has fully performed its obligation to redeem in full all outstanding shares of the Series B Preferred Stock, the Company may not declare dividends on shares of common stock or any other shares of the Company’s stock ranking junior to the Series B Preferred Stock and may not purchase, redeem or otherwise acquire such shares, subject to certain customary exceptions.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5" w:lineRule="exact"/>
        <w:rPr>
          <w:sz w:val="20"/>
          <w:szCs w:val="20"/>
          <w:color w:val="auto"/>
        </w:rPr>
      </w:pPr>
    </w:p>
    <w:p>
      <w:pPr>
        <w:ind w:left="1320" w:right="659" w:firstLine="346"/>
        <w:spacing w:after="0" w:line="286" w:lineRule="auto"/>
        <w:rPr>
          <w:sz w:val="20"/>
          <w:szCs w:val="20"/>
          <w:color w:val="auto"/>
        </w:rPr>
      </w:pPr>
      <w:r>
        <w:rPr>
          <w:rFonts w:ascii="Times New Roman" w:cs="Times New Roman" w:eastAsia="Times New Roman" w:hAnsi="Times New Roman"/>
          <w:sz w:val="14"/>
          <w:szCs w:val="14"/>
          <w:color w:val="auto"/>
        </w:rPr>
        <w:t>The common stock ranks junior to the Series B Preferred Stock as to payment of dividends and distributions of assets upon the liquidation, dissolution or winding up of the Company.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5"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Each share of common stock entitles the holder thereof to one vote on all matters, including the election of directors, and, except as otherwise required by law or provided in any resolution adopted by the Board with respect to any series of preferred stock, the holders of the shares of common stock will possess all voting power. Generally, all matters to be voted on by the shareholders must be approved by a majority of the votes cast at a meeting at which a quorum is present, subject to state law and any voting rights granted to any of the holders of preferred stock. The Certificate provides for certain limitations on the voting rights of holders of common stock with respect to amendments to the Certificate that affect the terms of outstanding preferred stock, including the Series B Preferred Stock.</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80" w:lineRule="exact"/>
        <w:rPr>
          <w:sz w:val="20"/>
          <w:szCs w:val="20"/>
          <w:color w:val="auto"/>
        </w:rPr>
      </w:pPr>
    </w:p>
    <w:p>
      <w:pPr>
        <w:ind w:left="1320" w:right="339" w:firstLine="346"/>
        <w:spacing w:after="0" w:line="259" w:lineRule="auto"/>
        <w:rPr>
          <w:sz w:val="20"/>
          <w:szCs w:val="20"/>
          <w:color w:val="auto"/>
        </w:rPr>
      </w:pPr>
      <w:r>
        <w:rPr>
          <w:rFonts w:ascii="Times New Roman" w:cs="Times New Roman" w:eastAsia="Times New Roman" w:hAnsi="Times New Roman"/>
          <w:sz w:val="14"/>
          <w:szCs w:val="14"/>
          <w:color w:val="auto"/>
        </w:rPr>
        <w:t>The number of directors shall be no fewer than seven and not more than 13, or as otherwise fixed pursuant to the By-laws. Holders of common stock do not have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GO EK Ventures IV, LLC (the “Investor”), the former holder of a series of preferred stock that has been exchanged for common stock, is contractually entitled to nominate one director for election to the Board at each shareholder meeting. The foregoing nomination right will automatically terminate once the Investor ceases to hold at least 10% of the issued and outstanding common stock.</w:t>
      </w:r>
    </w:p>
    <w:p>
      <w:pPr>
        <w:spacing w:after="0" w:line="137"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In connection with debt financing obtained by the Company from certain funds affiliated with Kennedy Lewis Investment Management LLC (“KLIM”) pursuant to that certain Amended and Restated Credit Agreement among the Company, the lenders party thereto, and Alter Domus (US) LLC, as administrative agent (as amended, the “Term Loan Credit Agreement”), KLIM was granted the contractual right to nominate one director for election at each shareholder meeting. The foregoing nomination right was amended in connection with the amendment of the terms of the Series B Preferred Stock following the acquisition of such stock by funds affiliated with KLIM and will continue for so long as funds affiliated with KLIM hold at least $200 million of the term loans outstanding under the Term Loan Credit Agreement or 50% of the Series B Preferred Stock (including any shares of common stock issued upon conversion of the Series B Preferred Stock). Until funds affiliated with KLIM cease to hold at least 50% of the term loans and commitments under the Term Loan Credit Agreement as of February 26, 2021 or 50% of the Series B Preferred Stock (including any shares of common stock issued upon conversion of the Series B Preferred Stock), KLIM will have the right to designate a non-voting observer to the Board at any time that KLIM’s designated director is not serving on the Board.</w:t>
      </w:r>
    </w:p>
    <w:p>
      <w:pPr>
        <w:spacing w:after="0" w:line="148" w:lineRule="exact"/>
        <w:rPr>
          <w:sz w:val="20"/>
          <w:szCs w:val="20"/>
          <w:color w:val="auto"/>
        </w:rPr>
      </w:pPr>
    </w:p>
    <w:p>
      <w:pPr>
        <w:ind w:left="1320" w:right="339" w:firstLine="346"/>
        <w:spacing w:after="0" w:line="261" w:lineRule="auto"/>
        <w:rPr>
          <w:sz w:val="20"/>
          <w:szCs w:val="20"/>
          <w:color w:val="auto"/>
        </w:rPr>
      </w:pPr>
      <w:r>
        <w:rPr>
          <w:rFonts w:ascii="Times New Roman" w:cs="Times New Roman" w:eastAsia="Times New Roman" w:hAnsi="Times New Roman"/>
          <w:sz w:val="14"/>
          <w:szCs w:val="14"/>
          <w:color w:val="auto"/>
        </w:rPr>
        <w:t>Except as may otherwise be required by law or by the Certificate, the By-Laws may be amended, altered, or repealed, in whole or in part, by the affirmative vote of a majority of the Board. The shareholders, by a majority of the votes cast at a meeting of the shareholders called for such purpose, may adopt, alter, amend or repeal the By-Laws whether made by the Board or otherwise; such amendments adopted by the shareholders may not be amended or repealed by action of the Board without (i) the affirmative vote of a majority of the votes cast at a meeting of the shareholders called for such purpose or (ii) approval by written consent of the shareholders.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95" w:lineRule="exact"/>
        <w:rPr>
          <w:sz w:val="20"/>
          <w:szCs w:val="20"/>
          <w:color w:val="auto"/>
        </w:rPr>
      </w:pPr>
    </w:p>
    <w:p>
      <w:pPr>
        <w:ind w:left="1320" w:right="339" w:firstLine="346"/>
        <w:spacing w:after="0" w:line="264" w:lineRule="auto"/>
        <w:rPr>
          <w:sz w:val="20"/>
          <w:szCs w:val="20"/>
          <w:color w:val="auto"/>
        </w:rPr>
      </w:pPr>
      <w:r>
        <w:rPr>
          <w:rFonts w:ascii="Times New Roman" w:cs="Times New Roman" w:eastAsia="Times New Roman" w:hAnsi="Times New Roman"/>
          <w:sz w:val="14"/>
          <w:szCs w:val="14"/>
          <w:color w:val="auto"/>
        </w:rPr>
        <w:t>The holders of common stock do not have preemptive rights. The holders of the Series B Preferred Stock have a contractual preemptive right to purchase their respective pro rata share of equity securities, including rights, options, or warrants to purchase equity securities or securities convertible or exchangeable into or exercisable for equity securities, offered by the Company, subject to certain terms and exceptions. There are no subscription, redemption, conversion or sinking fund provisions with respect to the common stock.</w:t>
      </w:r>
    </w:p>
    <w:p>
      <w:pPr>
        <w:spacing w:after="0" w:line="14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w:t>
      </w:r>
    </w:p>
    <w:p>
      <w:pPr>
        <w:spacing w:after="0" w:line="137" w:lineRule="exact"/>
        <w:rPr>
          <w:sz w:val="20"/>
          <w:szCs w:val="20"/>
          <w:color w:val="auto"/>
        </w:rPr>
      </w:pPr>
    </w:p>
    <w:p>
      <w:pPr>
        <w:ind w:left="1320" w:right="999" w:firstLine="346"/>
        <w:spacing w:after="0" w:line="286" w:lineRule="auto"/>
        <w:rPr>
          <w:sz w:val="20"/>
          <w:szCs w:val="20"/>
          <w:color w:val="auto"/>
        </w:rPr>
      </w:pPr>
      <w:r>
        <w:rPr>
          <w:rFonts w:ascii="Times New Roman" w:cs="Times New Roman" w:eastAsia="Times New Roman" w:hAnsi="Times New Roman"/>
          <w:sz w:val="14"/>
          <w:szCs w:val="14"/>
          <w:color w:val="auto"/>
        </w:rPr>
        <w:t>The transfer agent and registrar for the common stock, which is listed on the New York Stock Exchange under the symbol KODK, is Computershare Shareowner Services.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5" w:lineRule="exact"/>
        <w:rPr>
          <w:sz w:val="20"/>
          <w:szCs w:val="20"/>
          <w:color w:val="auto"/>
        </w:rPr>
      </w:pPr>
    </w:p>
    <w:p>
      <w:pPr>
        <w:ind w:left="1320" w:right="219" w:firstLine="346"/>
        <w:spacing w:after="0" w:line="286" w:lineRule="auto"/>
        <w:rPr>
          <w:sz w:val="20"/>
          <w:szCs w:val="20"/>
          <w:color w:val="auto"/>
        </w:rPr>
      </w:pPr>
      <w:r>
        <w:rPr>
          <w:rFonts w:ascii="Times New Roman" w:cs="Times New Roman" w:eastAsia="Times New Roman" w:hAnsi="Times New Roman"/>
          <w:sz w:val="14"/>
          <w:szCs w:val="14"/>
          <w:color w:val="auto"/>
        </w:rPr>
        <w:t>Various provisions contained in the Certificate, the By-Laws, and New Jersey law could delay or discourage some transactions involving an actual or potential change in control of the Company or its management. Provisions in the Certificate and the By-Laws:</w:t>
      </w:r>
    </w:p>
    <w:p>
      <w:pPr>
        <w:spacing w:after="0" w:line="51" w:lineRule="exact"/>
        <w:rPr>
          <w:sz w:val="20"/>
          <w:szCs w:val="20"/>
          <w:color w:val="auto"/>
        </w:rPr>
      </w:pPr>
    </w:p>
    <w:p>
      <w:pPr>
        <w:ind w:left="1660" w:right="439" w:hanging="256"/>
        <w:spacing w:after="0" w:line="269"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only a majority of the Board, the Chairman or the President may call a special meeting of the shareholders, except that a special meeting must be called upon the request from at least 20% of the total number of votes represented by the entire amount of capital stock of the Company issued and outstanding and entitled to vote at the meeting;</w:t>
      </w:r>
    </w:p>
    <w:p>
      <w:pPr>
        <w:spacing w:after="0" w:line="62" w:lineRule="exact"/>
        <w:rPr>
          <w:rFonts w:ascii="Times New Roman" w:cs="Times New Roman" w:eastAsia="Times New Roman" w:hAnsi="Times New Roman"/>
          <w:sz w:val="14"/>
          <w:szCs w:val="14"/>
          <w:color w:val="auto"/>
        </w:rPr>
      </w:pPr>
    </w:p>
    <w:p>
      <w:pPr>
        <w:ind w:left="1660" w:right="539" w:hanging="256"/>
        <w:spacing w:after="0" w:line="286" w:lineRule="auto"/>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 advanced written notice procedure with respect to shareholder proposals and shareholder nomination of candidates for election as directors;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660" w:hanging="256"/>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fill any vacancies on the Board, including vacancies resulting from an increase the number of directors.</w:t>
      </w:r>
    </w:p>
    <w:p>
      <w:pPr>
        <w:spacing w:after="0" w:line="178"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In addition, the Company is subject to Chapter 14A:10A of the New Jersey Business Corporation Act, the New Jersey Shareholders Protection Act. Chapter 14A:10A is an anti-takeover statute designed to protect shareholders against coercive, unfair or inadequate tender offers and other abusive tactics and to encourage any person contemplating a business combination with the Company to negotiate with the Board for the fair and equitable treatment of all shareholders. Subject to certain qualifications and exceptions, the statute prohibits an interested stockholder of a corporation from effecting a business combination with the corporation for a period of five years from the date the interested stockholder acquires the corporation’s stock, unless (a) the corporation’s board of directors approved the combination prior to the stockholder becoming an interested stockholder or (b) (i) the corporation’s board of directors approved the transaction or series of transactions causing the stockholder to become an interested stockholder and the corporation’s disinterested directors or a committee of disinterested directors approved the subsequent business combination and (ii) such subsequent business combination was also approved by the affirmative vote of holders of a majority of the voting stock of the corporation not owned by the interested stockholder. In addition, but not in limitation of the five-year restriction, if applicable, corporations covered by the New Jersey statute may not engage at any time in a business combination with any interested stockholder of that corporation unless (x) the combination is approved by the board of directors prior to the interested stockholder’s stock acquisition date, (y) the combination receives the approval of holders of two-thirds of the voting stock of the corporation not beneficially owned by the interested stockholder or (z) the combination meets minimum financial terms specified by the statute.</w:t>
      </w:r>
    </w:p>
    <w:p>
      <w:pPr>
        <w:spacing w:after="0" w:line="320" w:lineRule="exact"/>
        <w:rPr>
          <w:sz w:val="20"/>
          <w:szCs w:val="20"/>
          <w:color w:val="auto"/>
        </w:rPr>
      </w:pPr>
    </w:p>
    <w:p>
      <w:pPr>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w:t>
      </w:r>
    </w:p>
    <w:p>
      <w:pPr>
        <w:spacing w:after="0" w:line="1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term “business combination” is defined to include a broad range of transactions including, among other things:</w:t>
      </w:r>
    </w:p>
    <w:p>
      <w:pPr>
        <w:spacing w:after="0" w:line="104" w:lineRule="exact"/>
        <w:rPr>
          <w:sz w:val="20"/>
          <w:szCs w:val="20"/>
          <w:color w:val="auto"/>
        </w:rPr>
      </w:pPr>
    </w:p>
    <w:p>
      <w:pPr>
        <w:ind w:left="1660" w:right="239" w:hanging="256"/>
        <w:spacing w:after="0" w:line="286"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consolidation of the corporation with the interested stockholder or any corporation that is or after the merger or consolidation would be an affiliate or associate of the interested stockholder,</w:t>
      </w:r>
    </w:p>
    <w:p>
      <w:pPr>
        <w:spacing w:after="0" w:line="50" w:lineRule="exact"/>
        <w:rPr>
          <w:rFonts w:ascii="Times New Roman" w:cs="Times New Roman" w:eastAsia="Times New Roman" w:hAnsi="Times New Roman"/>
          <w:sz w:val="14"/>
          <w:szCs w:val="14"/>
          <w:color w:val="auto"/>
        </w:rPr>
      </w:pPr>
    </w:p>
    <w:p>
      <w:pPr>
        <w:ind w:left="1660" w:right="319" w:hanging="256"/>
        <w:spacing w:after="0" w:line="286"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lease, exchange, mortgage, pledge, transfer or other disposition to an interested stockholder or any affiliate or associate of the interested stockholder of 10% or more of the corporation’s assets, or</w:t>
      </w:r>
    </w:p>
    <w:p>
      <w:pPr>
        <w:spacing w:after="0" w:line="50" w:lineRule="exact"/>
        <w:rPr>
          <w:rFonts w:ascii="Times New Roman" w:cs="Times New Roman" w:eastAsia="Times New Roman" w:hAnsi="Times New Roman"/>
          <w:sz w:val="14"/>
          <w:szCs w:val="14"/>
          <w:color w:val="auto"/>
        </w:rPr>
      </w:pPr>
    </w:p>
    <w:p>
      <w:pPr>
        <w:ind w:left="1660" w:right="599" w:hanging="256"/>
        <w:spacing w:after="0" w:line="286"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or transfer to an interested stockholder or any affiliate or associate of the interested stockholder of 5% or more of the aggregate market value of the stock of the corporation.</w:t>
      </w:r>
    </w:p>
    <w:p>
      <w:pPr>
        <w:spacing w:after="0" w:line="12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The effect of the statute is to protect non-tendering, post-acquisition minority shareholders from mergers in which they will be “squeezed out” after the merger, by prohibiting transactions in which an acquirer could favor itself at the expense of minority shareholders. The statute generally applies to corporations that are organized under New Jersey law.</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The selling shareholders may, from time to time, sell, transfer or otherwise dispose of any or all of their respective shares of common stock on any stock exchange, market or trading facility on which the securities are traded or in private transactions. Such transactions may be effected through agents, through underwriters, brokers or dealers, directly to one or more purchasers at fixed prices, at prevailing market prices at the time of sale, at prices related to the prevailing market price, at varying prices determined at the time of sale, at negotiated prices, or through a combination of any of these methods of sale, including in an “at the market” type of transaction. The selling shareholders may use any one or more of the following methods when selling the securities or interests therein:</w:t>
      </w:r>
    </w:p>
    <w:p>
      <w:pPr>
        <w:spacing w:after="0" w:line="71" w:lineRule="exact"/>
        <w:rPr>
          <w:sz w:val="20"/>
          <w:szCs w:val="20"/>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4" w:lineRule="exact"/>
        <w:rPr>
          <w:rFonts w:ascii="Times New Roman" w:cs="Times New Roman" w:eastAsia="Times New Roman" w:hAnsi="Times New Roman"/>
          <w:sz w:val="14"/>
          <w:szCs w:val="14"/>
          <w:color w:val="auto"/>
        </w:rPr>
      </w:pPr>
    </w:p>
    <w:p>
      <w:pPr>
        <w:ind w:left="2080" w:right="539" w:hanging="337"/>
        <w:spacing w:after="0" w:line="286" w:lineRule="auto"/>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securities as agent but may position and resell a portion of the block as principal to facilitate the transaction;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underwritten public offerings;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or market distribution in accordance with the rules of the applicable exchange or market;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shareholders to sell a specified number of such securities at a stipulated price per share;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options, swaps or derivatives;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disposition;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The selling shareholders and any underwriters, broker-dealers or agents who participate in the sale or distribution of the securities may be deemed to be “underwriters” within the meaning of Section 2(11) of the Securities Act. If a selling shareholder is deemed to be an “underwriter” within the meaning of Section 2(11) of the Securities Act, the selling shareholder will be subject to the prospectus delivery requirements of the Securities Act. Underwriters are subject to certain statutory liabilities, including, but not limited to, those relating to Sections 11, 12 and 17 of the Securities Act and Rule 10b-5 under the Exchange Act. If the securities are sold through underwriters or broker-dealers, the selling shareholders will be responsible for underwriting discounts or commissions or agent’s commissions.</w:t>
      </w:r>
    </w:p>
    <w:p>
      <w:pPr>
        <w:spacing w:after="0" w:line="145" w:lineRule="exact"/>
        <w:rPr>
          <w:sz w:val="20"/>
          <w:szCs w:val="20"/>
          <w:color w:val="auto"/>
        </w:rPr>
      </w:pPr>
    </w:p>
    <w:p>
      <w:pPr>
        <w:ind w:left="1320" w:right="199" w:firstLine="346"/>
        <w:spacing w:after="0" w:line="256" w:lineRule="auto"/>
        <w:rPr>
          <w:sz w:val="20"/>
          <w:szCs w:val="20"/>
          <w:color w:val="auto"/>
        </w:rPr>
      </w:pPr>
      <w:r>
        <w:rPr>
          <w:rFonts w:ascii="Times New Roman" w:cs="Times New Roman" w:eastAsia="Times New Roman" w:hAnsi="Times New Roman"/>
          <w:sz w:val="14"/>
          <w:szCs w:val="14"/>
          <w:color w:val="auto"/>
        </w:rPr>
        <w:t>In addition, any of the selling shareholders may enter into derivative, hedging, “at the market,” forward sale, option or other types of transactions with third parties, or sell securities not covered by the registration statement of which this prospectus forms a part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the registration statement of which this prospectus forms a part and an applicable prospectus supplement or pricing supplement, as the case may be. If so, the third party may use securities borrowed from any of the selling shareholders or others to settle such sales and may use securities received from such selling shareholder to close out or hedge any related short positions. Any selling shareholder may also loan or pledge securities covered by the registration statement of which this prospectus forms a part and an applicable prospectus supplement to third parties, who may sell the loaned securities or, in an event of default in the case of a pledge, sell the pledged securities pursuant to the registration statement of which this prospectus forms a part and the applicable prospectus supplement or pricing supplement, as the case may be.</w:t>
      </w:r>
    </w:p>
    <w:p>
      <w:pPr>
        <w:spacing w:after="0" w:line="146" w:lineRule="exact"/>
        <w:rPr>
          <w:sz w:val="20"/>
          <w:szCs w:val="20"/>
          <w:color w:val="auto"/>
        </w:rPr>
      </w:pPr>
    </w:p>
    <w:p>
      <w:pPr>
        <w:ind w:left="1320" w:right="219" w:firstLine="346"/>
        <w:spacing w:after="0" w:line="260" w:lineRule="auto"/>
        <w:rPr>
          <w:sz w:val="20"/>
          <w:szCs w:val="20"/>
          <w:color w:val="auto"/>
        </w:rPr>
      </w:pPr>
      <w:r>
        <w:rPr>
          <w:rFonts w:ascii="Times New Roman" w:cs="Times New Roman" w:eastAsia="Times New Roman" w:hAnsi="Times New Roman"/>
          <w:sz w:val="14"/>
          <w:szCs w:val="14"/>
          <w:color w:val="auto"/>
        </w:rPr>
        <w:t>There can be no assurance that the selling shareholders will sell any or all of the securities under this prospectus. Further, we cannot assure you that the selling shareholders will not transfer, devise or gift the securities by other means not described in this prospectus. In addition, any securities covered by this prospectus that qualify for sale under Rule 144 or Rule 144A of the Securities Act may be sold under Rule 144 or Rule 144A rather than under this prospectus. The securities may be sold in some states only through registered or licensed brokers or dealers. In addition, in some states the securities may not be sold unless it has been registered or qualified for sale or an exemption from registration or qualification is available and complied with.</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firstLine="346"/>
        <w:spacing w:after="0" w:line="257" w:lineRule="auto"/>
        <w:rPr>
          <w:sz w:val="20"/>
          <w:szCs w:val="20"/>
          <w:color w:val="auto"/>
        </w:rPr>
      </w:pPr>
      <w:r>
        <w:rPr>
          <w:rFonts w:ascii="Times New Roman" w:cs="Times New Roman" w:eastAsia="Times New Roman" w:hAnsi="Times New Roman"/>
          <w:sz w:val="14"/>
          <w:szCs w:val="14"/>
          <w:color w:val="auto"/>
        </w:rPr>
        <w:t>The selling shareholders and any other person participating in the sale of the securities will be subject to the Exchange Act. The Exchange Act rules include, without limitation, Regulation M, which may limit the timing of purchases and sales of any of the securities by the selling shareholders and any other person. These provisions may restrict certain activities of, and limit the timing of, purchases by the selling shareholders or other persons or entities.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Regulation M may restrict the ability of any person engaged in the distribution of the securities to engage in market making and certain other activities with respect to those securities.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w:t>
      </w:r>
    </w:p>
    <w:p>
      <w:pPr>
        <w:spacing w:after="0" w:line="145" w:lineRule="exact"/>
        <w:rPr>
          <w:sz w:val="20"/>
          <w:szCs w:val="20"/>
          <w:color w:val="auto"/>
        </w:rPr>
      </w:pPr>
    </w:p>
    <w:p>
      <w:pPr>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In this “Plan of Distribution,” unless the context otherwise indicates, references to selling shareholders include their pledgees, donees, transferees or successors in interest. The selling shareholders will act independently of us in making decisions with respect to the timing, manner and size of each sale of common stock.</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95" w:lineRule="exact"/>
        <w:rPr>
          <w:sz w:val="20"/>
          <w:szCs w:val="20"/>
          <w:color w:val="auto"/>
        </w:rPr>
      </w:pPr>
    </w:p>
    <w:p>
      <w:pPr>
        <w:ind w:left="1320" w:right="279" w:firstLine="346"/>
        <w:spacing w:after="0" w:line="257" w:lineRule="auto"/>
        <w:rPr>
          <w:sz w:val="20"/>
          <w:szCs w:val="20"/>
          <w:color w:val="auto"/>
        </w:rPr>
      </w:pPr>
      <w:r>
        <w:rPr>
          <w:rFonts w:ascii="Times New Roman" w:cs="Times New Roman" w:eastAsia="Times New Roman" w:hAnsi="Times New Roman"/>
          <w:sz w:val="14"/>
          <w:szCs w:val="14"/>
          <w:color w:val="auto"/>
        </w:rPr>
        <w:t>If any of the selling shareholders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any of the selling shareholders inform you otherwise in a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If any of the selling shareholders utilize an underwriter or underwriters in the sale, such selling shareholders will execute an underwriting agreement with such underwriters at the time of sale to them. Any underwriters will use a prospectus supplement in connection with any offers or sales of securities pursuant to the registration statement of which this prospectus forms a part.</w:t>
      </w:r>
    </w:p>
    <w:p>
      <w:pPr>
        <w:spacing w:after="0" w:line="145" w:lineRule="exact"/>
        <w:rPr>
          <w:sz w:val="20"/>
          <w:szCs w:val="20"/>
          <w:color w:val="auto"/>
        </w:rPr>
      </w:pPr>
    </w:p>
    <w:p>
      <w:pPr>
        <w:ind w:left="1320" w:right="219" w:firstLine="346"/>
        <w:spacing w:after="0" w:line="255" w:lineRule="auto"/>
        <w:rPr>
          <w:sz w:val="20"/>
          <w:szCs w:val="20"/>
          <w:color w:val="auto"/>
        </w:rPr>
      </w:pPr>
      <w:r>
        <w:rPr>
          <w:rFonts w:ascii="Times New Roman" w:cs="Times New Roman" w:eastAsia="Times New Roman" w:hAnsi="Times New Roman"/>
          <w:sz w:val="14"/>
          <w:szCs w:val="14"/>
          <w:color w:val="auto"/>
        </w:rPr>
        <w:t>Any of the selling shareholders may make sales of our common stock to or through one or more underwriters, dealers or agents in at- the-market offerings and will do so pursuant to the terms of a distribution agreement between the underwriters, dealers or agents and such selling shareholders. If any of the selling shareholders engage in at-the-market sales pursuant to a distribution agreement, such selling shareholders will sell shares of our common stock to or through one or more underwriters, dealers or agents, which may act on an agency basis or on a principal basis. During the term of any such distribution agreement, such selling shareholders may sell shares on a daily basis in exchange transactions or otherwise as such selling shareholders agree with the underwriters, dealers or agents. The distribution agreement may provide that any shares of our common stock sold will be sold at prices related to the then prevailing market prices for our securities. Therefore, exact figures regarding net proceeds to such selling shareholders or commissions to be paid are impossible to determine and will be described in a prospectus supplement. Pursuant to the terms of the distribution agreement, such selling shareholders also may agree to sell, and the relevant underwriters, dealers or agents may agree to solicit offers to purchase, blocks of our common stock. The terms of each such distribution agreement will be set forth in more detail in a prospectus supplement to this prospectus. To the extent that any named underwriter, dealer or agent acts as principal pursuant to the terms of a distribution agreement, or if such selling shareholders offer to sell shares of our common stock through another dealer acting as underwriter, then such named underwriter may engage in certain transactions that stabilize, maintain or otherwise affect the price of our common stock. Such selling shareholders will describe any such activities in the applicable prospectus supplement. To the extent that any named dealer or agent acts as agent on a best efforts basis pursuant to the terms of a distribution agreement, such dealer or agent will not engage in any such stabilization transactions.</w:t>
      </w:r>
    </w:p>
    <w:p>
      <w:pPr>
        <w:spacing w:after="0" w:line="148" w:lineRule="exact"/>
        <w:rPr>
          <w:sz w:val="20"/>
          <w:szCs w:val="20"/>
          <w:color w:val="auto"/>
        </w:rPr>
      </w:pPr>
    </w:p>
    <w:p>
      <w:pPr>
        <w:jc w:val="both"/>
        <w:ind w:left="1320" w:right="239" w:firstLine="346"/>
        <w:spacing w:after="0" w:line="269" w:lineRule="auto"/>
        <w:rPr>
          <w:sz w:val="20"/>
          <w:szCs w:val="20"/>
          <w:color w:val="auto"/>
        </w:rPr>
      </w:pPr>
      <w:r>
        <w:rPr>
          <w:rFonts w:ascii="Times New Roman" w:cs="Times New Roman" w:eastAsia="Times New Roman" w:hAnsi="Times New Roman"/>
          <w:sz w:val="14"/>
          <w:szCs w:val="14"/>
          <w:color w:val="auto"/>
        </w:rPr>
        <w:t>In connection with any particular offering pursuant to the registration statement of which this prospectus forms a part, an underwriter may engage in stabilizing transactions, over-allotment transactions, syndicate covering transactions and penalty bids. Stabilizing transactions permit bids to purchase the underlying security so long as the stabilizing bids do not exceed a specified maximum price.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firstLine="346"/>
        <w:spacing w:after="0" w:line="261" w:lineRule="auto"/>
        <w:rPr>
          <w:sz w:val="20"/>
          <w:szCs w:val="20"/>
          <w:color w:val="auto"/>
        </w:rPr>
      </w:pPr>
      <w:r>
        <w:rPr>
          <w:rFonts w:ascii="Times New Roman" w:cs="Times New Roman" w:eastAsia="Times New Roman" w:hAnsi="Times New Roman"/>
          <w:sz w:val="14"/>
          <w:szCs w:val="14"/>
          <w:color w:val="auto"/>
        </w:rPr>
        <w:t>Over-allotment involves sales by an underwriter of shares in excess of the number of shares an underwriter is obligated to purchase, which creates a syndicate short position. The short position may be either a covered short position or a naked short position. In a covered short position, the number of shares over-allotted by an underwriter is not greater than the number of shares that it may purchase in an over-allotment option. In a naked short position, the number of shares involved is greater than the number of shares in an over-allotment option. An underwriter may close out any short position by either exercising its over-allotment option and/or purchasing shares in the open market.</w:t>
      </w:r>
    </w:p>
    <w:p>
      <w:pPr>
        <w:spacing w:after="0" w:line="142"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Syndicate covering transactions involve purchases of shares of our common stock in the open market after the distribution has been completed in order to cover syndicate short positions. In determining the source of shares to close out the short position, an underwriter will consider, among other things, the price of shares available for purchase in the open market as compared to the price at which it may purchase shares through an over-allotment option. If an underwriter sells more shares than could be covered by an over-allotment option, a naked short position, the position can only be closed out by buying shares in the open market. A naked short position is more likely to be created if an underwriter is concerned that there could be downward pressure on the price of the shares in the open market after pricing that could adversely affect investors who purchase in the offering.</w:t>
      </w:r>
    </w:p>
    <w:p>
      <w:pPr>
        <w:spacing w:after="0" w:line="145" w:lineRule="exact"/>
        <w:rPr>
          <w:sz w:val="20"/>
          <w:szCs w:val="20"/>
          <w:color w:val="auto"/>
        </w:rPr>
      </w:pPr>
    </w:p>
    <w:p>
      <w:pPr>
        <w:ind w:left="1320" w:right="259" w:firstLine="346"/>
        <w:spacing w:after="0" w:line="286" w:lineRule="auto"/>
        <w:rPr>
          <w:sz w:val="20"/>
          <w:szCs w:val="20"/>
          <w:color w:val="auto"/>
        </w:rPr>
      </w:pPr>
      <w:r>
        <w:rPr>
          <w:rFonts w:ascii="Times New Roman" w:cs="Times New Roman" w:eastAsia="Times New Roman" w:hAnsi="Times New Roman"/>
          <w:sz w:val="14"/>
          <w:szCs w:val="14"/>
          <w:color w:val="auto"/>
        </w:rPr>
        <w:t>Penalty bids permit representatives to reclaim a selling concession from a syndicate member when shares of our common stock originally sold by the syndicate member are purchased in a stabilizing or syndicate covering transaction to cover syndicate short positions.</w:t>
      </w:r>
    </w:p>
    <w:p>
      <w:pPr>
        <w:spacing w:after="0" w:line="125" w:lineRule="exact"/>
        <w:rPr>
          <w:sz w:val="20"/>
          <w:szCs w:val="20"/>
          <w:color w:val="auto"/>
        </w:rPr>
      </w:pPr>
    </w:p>
    <w:p>
      <w:pPr>
        <w:ind w:left="1320" w:right="339" w:firstLine="346"/>
        <w:spacing w:after="0" w:line="264" w:lineRule="auto"/>
        <w:rPr>
          <w:sz w:val="20"/>
          <w:szCs w:val="20"/>
          <w:color w:val="auto"/>
        </w:rPr>
      </w:pPr>
      <w:r>
        <w:rPr>
          <w:rFonts w:ascii="Times New Roman" w:cs="Times New Roman" w:eastAsia="Times New Roman" w:hAnsi="Times New Roman"/>
          <w:sz w:val="14"/>
          <w:szCs w:val="14"/>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New York Stock Exchange or otherwise and, if commenced, may be discontinued at any time.</w:t>
      </w:r>
    </w:p>
    <w:p>
      <w:pPr>
        <w:spacing w:after="0" w:line="140" w:lineRule="exact"/>
        <w:rPr>
          <w:sz w:val="20"/>
          <w:szCs w:val="20"/>
          <w:color w:val="auto"/>
        </w:rPr>
      </w:pPr>
    </w:p>
    <w:p>
      <w:pPr>
        <w:ind w:left="1320" w:right="319" w:firstLine="346"/>
        <w:spacing w:after="0" w:line="269" w:lineRule="auto"/>
        <w:rPr>
          <w:sz w:val="20"/>
          <w:szCs w:val="20"/>
          <w:color w:val="auto"/>
        </w:rPr>
      </w:pPr>
      <w:r>
        <w:rPr>
          <w:rFonts w:ascii="Times New Roman" w:cs="Times New Roman" w:eastAsia="Times New Roman" w:hAnsi="Times New Roman"/>
          <w:sz w:val="14"/>
          <w:szCs w:val="14"/>
          <w:color w:val="auto"/>
        </w:rPr>
        <w:t>If any of the selling shareholders use dealers in the sale of securities, such selling shareholders will sell the securities to the dealers as principals. They may then resell those securities to the public at varying prices determined by the dealers at the time of resale. Such selling shareholders will include in a prospectus supplement the names of the dealers and the terms of the transaction.</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95" w:lineRule="exact"/>
        <w:rPr>
          <w:sz w:val="20"/>
          <w:szCs w:val="20"/>
          <w:color w:val="auto"/>
        </w:rPr>
      </w:pPr>
    </w:p>
    <w:p>
      <w:pPr>
        <w:ind w:left="1320" w:right="219" w:firstLine="346"/>
        <w:spacing w:after="0" w:line="269" w:lineRule="auto"/>
        <w:rPr>
          <w:sz w:val="20"/>
          <w:szCs w:val="20"/>
          <w:color w:val="auto"/>
        </w:rPr>
      </w:pPr>
      <w:r>
        <w:rPr>
          <w:rFonts w:ascii="Times New Roman" w:cs="Times New Roman" w:eastAsia="Times New Roman" w:hAnsi="Times New Roman"/>
          <w:sz w:val="14"/>
          <w:szCs w:val="14"/>
          <w:color w:val="auto"/>
        </w:rPr>
        <w:t>Selling shareholders could make sales in privately negotiated transactions and/or any other method permitted by law, including sales deemed to be an “at-the-market” offering as defined in Rule 415 under the Securities Act, which includes sales made directly on or through the New York Stock Exchange, the existing trading market for our common stock, or sales made to or through a market maker other than on an exchange.</w:t>
      </w:r>
    </w:p>
    <w:p>
      <w:pPr>
        <w:spacing w:after="0" w:line="137"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To the extent that any of the selling shareholders make sales through one or more underwriters, dealers or agents in “at-the-market” offerings, such selling shareholder will do so pursuant to the terms of a distribution agreement or other “at-the-market” offering arrangement with such underwriters or agents. If any of the selling shareholders engage in at-the-market sales pursuant to any such agreement, such selling shareholder will issue and sell securities through one or more underwriters or agents, which may act on an agency basis or on a principal basis. During the term of any such agreement, such selling shareholder may sell securities on a daily basis in exchange transactions or otherwise as such selling shareholders agree with the underwriters or agents. The agreement will provide that any securities sold will be sold at prices related to the then prevailing market prices for such securities. Therefore, exact figures regarding proceeds that will be raised or commissions to be paid cannot be determined at this time. Pursuant to the terms of the agreement, such selling shareholder also may agree to sell, and the relevant underwriters or agents may agree to solicit offers to purchase, blocks of securities.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the securities. Any such activities will be described in the prospectus supplement or any related free writing prospectus relating to the transaction.</w:t>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95" w:lineRule="exact"/>
        <w:rPr>
          <w:sz w:val="20"/>
          <w:szCs w:val="20"/>
          <w:color w:val="auto"/>
        </w:rPr>
      </w:pPr>
    </w:p>
    <w:p>
      <w:pPr>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Any of the selling shareholders may sell the securities directly, without the involvement of underwriters, dealers or agents. Any of the selling shareholders also may sell the securities through agents such selling shareholders designate from time to time, who may be deemed to be underwriters as that term is defined in the Securities Act. In the applicable prospectus supplement, such selling shareholders will name any agent involved in the offer or sale of the securities, and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9" w:lineRule="auto"/>
        <w:rPr>
          <w:sz w:val="20"/>
          <w:szCs w:val="20"/>
          <w:color w:val="auto"/>
        </w:rPr>
      </w:pPr>
      <w:r>
        <w:rPr>
          <w:rFonts w:ascii="Times New Roman" w:cs="Times New Roman" w:eastAsia="Times New Roman" w:hAnsi="Times New Roman"/>
          <w:sz w:val="14"/>
          <w:szCs w:val="14"/>
          <w:color w:val="auto"/>
        </w:rPr>
        <w:t>such selling shareholders will describe any commissions payable by such selling shareholders or any of the selling shareholders to the agent. Unless such selling shareholders inform you otherwise in a prospectus supplement, any agent will agree to use its reasonable best efforts to solicit purchases for the period of its appointment.</w:t>
      </w:r>
    </w:p>
    <w:p>
      <w:pPr>
        <w:spacing w:after="0" w:line="137" w:lineRule="exact"/>
        <w:rPr>
          <w:sz w:val="20"/>
          <w:szCs w:val="20"/>
          <w:color w:val="auto"/>
        </w:rPr>
      </w:pPr>
    </w:p>
    <w:p>
      <w:pPr>
        <w:jc w:val="both"/>
        <w:ind w:left="1320" w:right="359" w:firstLine="346"/>
        <w:spacing w:after="0" w:line="269" w:lineRule="auto"/>
        <w:rPr>
          <w:sz w:val="20"/>
          <w:szCs w:val="20"/>
          <w:color w:val="auto"/>
        </w:rPr>
      </w:pPr>
      <w:r>
        <w:rPr>
          <w:rFonts w:ascii="Times New Roman" w:cs="Times New Roman" w:eastAsia="Times New Roman" w:hAnsi="Times New Roman"/>
          <w:sz w:val="14"/>
          <w:szCs w:val="14"/>
          <w:color w:val="auto"/>
        </w:rPr>
        <w:t>Any of the selling shareholders may sell the securities directly to institutional investors or others who may be deemed to be underwriters within the meaning of the Securities Act with respect to any sale of those securities. Such selling shareholders will describe the terms of any such sales in the applicable prospectus supplement.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95" w:lineRule="exact"/>
        <w:rPr>
          <w:sz w:val="20"/>
          <w:szCs w:val="20"/>
          <w:color w:val="auto"/>
        </w:rPr>
      </w:pPr>
    </w:p>
    <w:p>
      <w:pPr>
        <w:ind w:left="1320" w:right="219" w:firstLine="346"/>
        <w:spacing w:after="0" w:line="262" w:lineRule="auto"/>
        <w:rPr>
          <w:sz w:val="20"/>
          <w:szCs w:val="20"/>
          <w:color w:val="auto"/>
        </w:rPr>
      </w:pPr>
      <w:r>
        <w:rPr>
          <w:rFonts w:ascii="Times New Roman" w:cs="Times New Roman" w:eastAsia="Times New Roman" w:hAnsi="Times New Roman"/>
          <w:sz w:val="14"/>
          <w:szCs w:val="14"/>
          <w:color w:val="auto"/>
        </w:rPr>
        <w:t>If any of the selling shareholders so indicate in a prospectus supplement, such selling shareholders may authorize agents, underwriters or dealers to solicit offers from certain types of institutions to purchase securities from such selling shareholders at the public offering price under delayed delivery contracts. These contracts would provide for payment and delivery on a specified date in the future. The contracts would be subject only to those conditions described in the prospectus supplement. The prospectus supplement would describe the commission payable for solicitation of those contracts.</w:t>
      </w:r>
    </w:p>
    <w:p>
      <w:pPr>
        <w:spacing w:after="0" w:line="3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95" w:lineRule="exact"/>
        <w:rPr>
          <w:sz w:val="20"/>
          <w:szCs w:val="20"/>
          <w:color w:val="auto"/>
        </w:rPr>
      </w:pPr>
    </w:p>
    <w:p>
      <w:pPr>
        <w:jc w:val="both"/>
        <w:ind w:left="1320" w:right="199" w:firstLine="346"/>
        <w:spacing w:after="0" w:line="264" w:lineRule="auto"/>
        <w:rPr>
          <w:sz w:val="20"/>
          <w:szCs w:val="20"/>
          <w:color w:val="auto"/>
        </w:rPr>
      </w:pPr>
      <w:r>
        <w:rPr>
          <w:rFonts w:ascii="Times New Roman" w:cs="Times New Roman" w:eastAsia="Times New Roman" w:hAnsi="Times New Roman"/>
          <w:sz w:val="14"/>
          <w:szCs w:val="14"/>
          <w:color w:val="auto"/>
        </w:rPr>
        <w:t>Any of the selling shareholders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any of the selling shareholders in the ordinary course of their business.</w:t>
      </w:r>
    </w:p>
    <w:p>
      <w:pPr>
        <w:spacing w:after="0" w:line="140" w:lineRule="exact"/>
        <w:rPr>
          <w:sz w:val="20"/>
          <w:szCs w:val="20"/>
          <w:color w:val="auto"/>
        </w:rPr>
      </w:pPr>
    </w:p>
    <w:p>
      <w:pPr>
        <w:jc w:val="both"/>
        <w:ind w:left="1320" w:right="279" w:firstLine="346"/>
        <w:spacing w:after="0" w:line="269"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securities must be sold in those states only through registered or licensed brokers or dealers. In addition, some states may restrict any of the selling shareholders from selling securities unless the securities have been registered or qualified for sale in the applicable state or an exemption from the registration or qualification requirement is available and is complied with.</w:t>
      </w:r>
    </w:p>
    <w:p>
      <w:pPr>
        <w:spacing w:after="0" w:line="137" w:lineRule="exact"/>
        <w:rPr>
          <w:sz w:val="20"/>
          <w:szCs w:val="20"/>
          <w:color w:val="auto"/>
        </w:rPr>
      </w:pPr>
    </w:p>
    <w:p>
      <w:pPr>
        <w:jc w:val="both"/>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We have agreed to indemnify selling shareholders against certain liabilities arising under the Securities Act from sales of common stock. We will not bear any underwriting discounts or commissions or transfer taxes relating to the sale of the securities nor any other fees or expenses incurred by the selling shareholders in connection with the registration of the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320" w:right="279" w:firstLine="346"/>
        <w:spacing w:after="0" w:line="286" w:lineRule="auto"/>
        <w:rPr>
          <w:sz w:val="20"/>
          <w:szCs w:val="20"/>
          <w:color w:val="auto"/>
        </w:rPr>
      </w:pPr>
      <w:r>
        <w:rPr>
          <w:rFonts w:ascii="Times New Roman" w:cs="Times New Roman" w:eastAsia="Times New Roman" w:hAnsi="Times New Roman"/>
          <w:sz w:val="14"/>
          <w:szCs w:val="14"/>
          <w:color w:val="auto"/>
        </w:rPr>
        <w:t>Unless otherwise specified in a prospectus supplement accompanying this prospectus, the validity of the common stock being offered hereby will be passed upon for us by Day Pitney LLP, Parsippany, New Jersey.</w:t>
      </w: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320" w:right="259" w:firstLine="346"/>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Eastman Kodak Company appearing in Eastman Kodak Company’s Annual Report (Form 10-K) for the year ended December 31, 2025, and the effectiveness of Eastman Kodak Company’s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177800</wp:posOffset>
            </wp:positionV>
            <wp:extent cx="549275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211455</wp:posOffset>
            </wp:positionV>
            <wp:extent cx="549275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EASTMAN KODAK COMPANY</w:t>
      </w:r>
    </w:p>
    <w:p>
      <w:pPr>
        <w:spacing w:after="0" w:line="1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191135</wp:posOffset>
            </wp:positionV>
            <wp:extent cx="115760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198120</wp:posOffset>
            </wp:positionV>
            <wp:extent cx="115760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144145</wp:posOffset>
            </wp:positionV>
            <wp:extent cx="54927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177800</wp:posOffset>
            </wp:positionV>
            <wp:extent cx="54927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492750" cy="698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3"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5" w:lineRule="exact"/>
        <w:rPr>
          <w:sz w:val="20"/>
          <w:szCs w:val="20"/>
          <w:color w:val="auto"/>
        </w:rPr>
      </w:pPr>
    </w:p>
    <w:p>
      <w:pPr>
        <w:jc w:val="both"/>
        <w:ind w:left="1320" w:right="399" w:firstLine="346"/>
        <w:spacing w:after="0" w:line="269" w:lineRule="auto"/>
        <w:rPr>
          <w:sz w:val="20"/>
          <w:szCs w:val="20"/>
          <w:color w:val="auto"/>
        </w:rPr>
      </w:pPr>
      <w:r>
        <w:rPr>
          <w:rFonts w:ascii="Times New Roman" w:cs="Times New Roman" w:eastAsia="Times New Roman" w:hAnsi="Times New Roman"/>
          <w:sz w:val="14"/>
          <w:szCs w:val="14"/>
          <w:color w:val="auto"/>
        </w:rPr>
        <w:t>The following table shows the costs and expenses, other than underwriting discounts and commissions, payable in connection with the sale and distribution of the securities being registered. All amounts, other than the SEC registration fee, are estimated and actual costs and expenses may vary significantly from such estimates based on the number and nature of offering(s) in which securities are issued.</w:t>
      </w:r>
    </w:p>
    <w:p>
      <w:pPr>
        <w:spacing w:after="0" w:line="154" w:lineRule="exact"/>
        <w:rPr>
          <w:sz w:val="20"/>
          <w:szCs w:val="20"/>
          <w:color w:val="auto"/>
        </w:rPr>
      </w:pPr>
    </w:p>
    <w:tbl>
      <w:tblPr>
        <w:tblLayout w:type="fixed"/>
        <w:tblInd w:w="1320" w:type="dxa"/>
        <w:tblCellMar>
          <w:top w:w="0" w:type="dxa"/>
          <w:left w:w="0" w:type="dxa"/>
          <w:bottom w:w="0" w:type="dxa"/>
          <w:right w:w="0" w:type="dxa"/>
        </w:tblCellMar>
      </w:tblPr>
      <w:tr>
        <w:trPr>
          <w:trHeight w:val="156"/>
        </w:trPr>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Type</w:t>
            </w:r>
          </w:p>
        </w:tc>
        <w:tc>
          <w:tcPr>
            <w:tcW w:w="5120" w:type="dxa"/>
            <w:vAlign w:val="bottom"/>
          </w:tcPr>
          <w:p>
            <w:pPr>
              <w:spacing w:after="0"/>
              <w:rPr>
                <w:sz w:val="13"/>
                <w:szCs w:val="13"/>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80" w:type="dxa"/>
            <w:vAlign w:val="bottom"/>
            <w:tcBorders>
              <w:top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SEC registration fee</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5,685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6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15,000</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40,000</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6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15,000</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80,685</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6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vMerge w:val="continue"/>
          </w:tcPr>
          <w:p>
            <w:pPr>
              <w:spacing w:after="0"/>
              <w:rPr>
                <w:sz w:val="24"/>
                <w:szCs w:val="24"/>
                <w:color w:val="auto"/>
              </w:rPr>
            </w:pPr>
          </w:p>
        </w:tc>
        <w:tc>
          <w:tcPr>
            <w:tcW w:w="60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registrant is incorporated under the laws of the State of New Jersey.</w:t>
      </w:r>
    </w:p>
    <w:p>
      <w:pPr>
        <w:spacing w:after="0" w:line="178" w:lineRule="exact"/>
        <w:rPr>
          <w:sz w:val="20"/>
          <w:szCs w:val="20"/>
          <w:color w:val="auto"/>
        </w:rPr>
      </w:pPr>
    </w:p>
    <w:p>
      <w:pPr>
        <w:ind w:left="1320" w:right="219" w:firstLine="346"/>
        <w:spacing w:after="0" w:line="257" w:lineRule="auto"/>
        <w:rPr>
          <w:sz w:val="20"/>
          <w:szCs w:val="20"/>
          <w:color w:val="auto"/>
        </w:rPr>
      </w:pPr>
      <w:r>
        <w:rPr>
          <w:rFonts w:ascii="Times New Roman" w:cs="Times New Roman" w:eastAsia="Times New Roman" w:hAnsi="Times New Roman"/>
          <w:sz w:val="14"/>
          <w:szCs w:val="14"/>
          <w:color w:val="auto"/>
        </w:rPr>
        <w:t>The New Jersey Business Corporation Act (the “NJBCA”) provides that a New Jersey corporation has the power to indemnify a director or officer against expenses and liabilities in connection with any proceeding involving the director or officer by reason of being or having been such a director or officer (or having served at the request of the corporation as director, officer, trustee, employee or agent of any other enterprise), other than a proceeding by or in the right of the corporation, if such a director or officer acted in good faith and in a manner such director or officer reasonably believed to be in or not opposed to the best interests of the corporation and, with respect to any criminal proceeding, such director or officer had no reasonable cause to believe such director’s or officer’s conduct was unlawful. Under the NJBCA, expenses incurred by a director or officer in connection with a proceeding may be paid by the corporation in advance of the final disposition of the proceeding upon receipt of an undertaking by or on behalf of the director or officer to repay such amount if it shall ultimately be determined that the director or officer is not entitled to be indemnified as provided in the NJBCA.</w:t>
      </w:r>
    </w:p>
    <w:p>
      <w:pPr>
        <w:spacing w:after="0" w:line="147" w:lineRule="exact"/>
        <w:rPr>
          <w:sz w:val="20"/>
          <w:szCs w:val="20"/>
          <w:color w:val="auto"/>
        </w:rPr>
      </w:pPr>
    </w:p>
    <w:p>
      <w:pPr>
        <w:ind w:left="1320" w:right="199" w:firstLine="346"/>
        <w:spacing w:after="0" w:line="259" w:lineRule="auto"/>
        <w:rPr>
          <w:sz w:val="20"/>
          <w:szCs w:val="20"/>
          <w:color w:val="auto"/>
        </w:rPr>
      </w:pPr>
      <w:r>
        <w:rPr>
          <w:rFonts w:ascii="Times New Roman" w:cs="Times New Roman" w:eastAsia="Times New Roman" w:hAnsi="Times New Roman"/>
          <w:sz w:val="14"/>
          <w:szCs w:val="14"/>
          <w:color w:val="auto"/>
        </w:rPr>
        <w:t>The NJBCA further provides that such indemnification and advancement of expenses shall not exclude any other rights, including the right to be indemnified against liabilities and expenses incurred in proceedings by or in the right of the corporation, to which a director or officer may be entitled under a certificate of incorporation, bylaw, agreement, vote of shareholders, or otherwise; provided that no indemnification shall be made to or on behalf of a director or officer if a judgment or other final adjudication adverse to the director or officer establishes that the director or officer’s acts or omissions (a) were in breach of the duty of loyalty to the corporation or its shareholders, as defined in the NJBCA, (b) were not in good faith or involved a knowing violation of law or (c) resulted in receipt by the director or officer of an improper personal benefit.</w:t>
      </w:r>
    </w:p>
    <w:p>
      <w:pPr>
        <w:spacing w:after="0" w:line="145" w:lineRule="exact"/>
        <w:rPr>
          <w:sz w:val="20"/>
          <w:szCs w:val="20"/>
          <w:color w:val="auto"/>
        </w:rPr>
      </w:pPr>
    </w:p>
    <w:p>
      <w:pPr>
        <w:ind w:left="1320" w:right="239" w:firstLine="346"/>
        <w:spacing w:after="0" w:line="264" w:lineRule="auto"/>
        <w:rPr>
          <w:sz w:val="20"/>
          <w:szCs w:val="20"/>
          <w:color w:val="auto"/>
        </w:rPr>
      </w:pPr>
      <w:r>
        <w:rPr>
          <w:rFonts w:ascii="Times New Roman" w:cs="Times New Roman" w:eastAsia="Times New Roman" w:hAnsi="Times New Roman"/>
          <w:sz w:val="14"/>
          <w:szCs w:val="14"/>
          <w:color w:val="auto"/>
        </w:rPr>
        <w:t>The NJBCA also permits a New Jersey corporation to purchase and maintain insurance on behalf of a director or officer of the corporation against any expenses incurred in any proceeding and any liabilities asserted against the director or officer by reason of being or having been such a director or officer (or having served at the request of the corporation as director, officer, trustee, employee or agent of any other enterprise), whether or not the corporation would have the power to indemnify the director or officer against such expenses and liabilities under the NJBCA.</w:t>
      </w:r>
    </w:p>
    <w:p>
      <w:pPr>
        <w:spacing w:after="0" w:line="140" w:lineRule="exact"/>
        <w:rPr>
          <w:sz w:val="20"/>
          <w:szCs w:val="20"/>
          <w:color w:val="auto"/>
        </w:rPr>
      </w:pPr>
    </w:p>
    <w:p>
      <w:pPr>
        <w:ind w:left="1320" w:right="379" w:firstLine="346"/>
        <w:spacing w:after="0" w:line="269" w:lineRule="auto"/>
        <w:rPr>
          <w:sz w:val="20"/>
          <w:szCs w:val="20"/>
          <w:color w:val="auto"/>
        </w:rPr>
      </w:pPr>
      <w:r>
        <w:rPr>
          <w:rFonts w:ascii="Times New Roman" w:cs="Times New Roman" w:eastAsia="Times New Roman" w:hAnsi="Times New Roman"/>
          <w:sz w:val="14"/>
          <w:szCs w:val="14"/>
          <w:color w:val="auto"/>
        </w:rPr>
        <w:t>Article VI of the Second Amended and Restated Certificate of Incorporation of the registrant provides that to the fullest extent permitted by the NJBCA, directors and officers of the registrant shall not be personally liable to the registrant or its shareholders for damages for breach of any duty owed to the registrant or its shareholders.</w:t>
      </w:r>
    </w:p>
    <w:p>
      <w:pPr>
        <w:spacing w:after="0" w:line="137" w:lineRule="exact"/>
        <w:rPr>
          <w:sz w:val="20"/>
          <w:szCs w:val="20"/>
          <w:color w:val="auto"/>
        </w:rPr>
      </w:pPr>
    </w:p>
    <w:p>
      <w:pPr>
        <w:ind w:left="1320" w:right="199" w:firstLine="346"/>
        <w:spacing w:after="0" w:line="255" w:lineRule="auto"/>
        <w:rPr>
          <w:sz w:val="20"/>
          <w:szCs w:val="20"/>
          <w:color w:val="auto"/>
        </w:rPr>
      </w:pPr>
      <w:r>
        <w:rPr>
          <w:rFonts w:ascii="Times New Roman" w:cs="Times New Roman" w:eastAsia="Times New Roman" w:hAnsi="Times New Roman"/>
          <w:sz w:val="14"/>
          <w:szCs w:val="14"/>
          <w:color w:val="auto"/>
        </w:rPr>
        <w:t>Section 2(a) of Article 7 of the Fourth Amended and Restated By-Laws (the “By-Laws”) of the registrant provides that the registrant shall indemnify and hold harmless against all liabilities any person who is or was a director or officer, including the director’s or officer’s estate (an “Indemnitee”), who is or was a party to or threatened to be made a party to any action, suit or proceeding, whether civil, criminal, administrative, investigative or otherwise in respect of any past, present or future matter, including any action, suit or proceeding by or in the right of the registrant (an “Action”), by reason of the fact that the Indemnitee is or was serving as a director, officer, employee or agent of the registrant or is or was serving at the request of the registrant as a director, officer, trustee, employee or agent of any other enterprise; provided, however, that the registrant shall not indemnify an Indemnitee if a judgment or other final adjudication adverse to the Indemnitee establishes that the Indemnitee’s acts or omissions (a) were acts or omissions that the Indemnitee knew or believed to be contrary to the best interests of the registrant or its shareholders in connection with a matter to which such person had a material conflict of interest, (b) were not in good faith or involved a knowing violation of law or (c) resulted in receipt by such person of an improper personal benefit. Subject to the receipt by the registrant of an undertaking by the Indemnitee to repay Expenses (as defined below) if there shall be a judgment or other final adjudication that the Indemnitee is not entitled to receive reimbursement of Expenses from the registrant, the registrant shall pay or reimburse an Indemnitee within 20 days following the later of (i) the receipt of such undertaking and (ii) the receipt of a demand from the Indemnitee for payment or reimbursement of Expenses, in advance of final disposition or otherwise, to the full extent authorized</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or permitted by law, Expenses as incurred by the Indemnitee in defending any actual or threatened Action by reason of the fact that the Indemnitee is or was serving as a director, officer, trustee, employee or agent of the registrant or is or was serving at the request of the registrant as a director, officer, trustee, employee or agent of any other enterprise; provided, however, that the registrant shall not be required under Article 7 to further pay or reimburse Expenses and, if requested by the registrant, shall be entitled to repayment of Expenses from the Indemnitee following any plea formally entered by or formal written admission by the Indemnitee in the Action for which the Indemnitee has sought payment or reimbursement of Expenses or indemnification that the Indemnitee has committed such acts or omissions establishing that the Indemnitee is not entitled to indemnification pursuant to Section 2(a). The Indemnitee shall be entitled to be paid or reimbursed for Expenses incurred in any Action to obtain indemnification or payment or reimbursement of Expenses under Section 2(a) on the same terms, conditions and limitations as the Indemnitee is entitled to Expenses under the previous sentence. The registrant shall not be obligated under Section 2(a) to provide any indemnification or any payment or reimbursement of Expenses to an Indemnitee in connection with an Action (or part thereof) initiated by the Indemnitee unless the Board has authorized or consented to the Action (or part thereof) in a resolution adopted by the Board. For the purposes of Article 7 of the By-Laws, “Expenses” shall include, without limitation, all reasonable fees, costs and expenses, including, without limitation,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or investigating an Action, including any Action to obtain indemnification or payment or reimbursement of Expenses.</w:t>
      </w:r>
    </w:p>
    <w:p>
      <w:pPr>
        <w:spacing w:after="0" w:line="148" w:lineRule="exact"/>
        <w:rPr>
          <w:sz w:val="20"/>
          <w:szCs w:val="20"/>
          <w:color w:val="auto"/>
        </w:rPr>
      </w:pPr>
    </w:p>
    <w:p>
      <w:pPr>
        <w:ind w:left="1320" w:right="239" w:firstLine="346"/>
        <w:spacing w:after="0" w:line="259" w:lineRule="auto"/>
        <w:rPr>
          <w:sz w:val="20"/>
          <w:szCs w:val="20"/>
          <w:color w:val="auto"/>
        </w:rPr>
      </w:pPr>
      <w:r>
        <w:rPr>
          <w:rFonts w:ascii="Times New Roman" w:cs="Times New Roman" w:eastAsia="Times New Roman" w:hAnsi="Times New Roman"/>
          <w:sz w:val="14"/>
          <w:szCs w:val="14"/>
          <w:color w:val="auto"/>
        </w:rPr>
        <w:t>In addition, Section 2(c) of Article 7 of the By-Laws also provides that the registrant may, to the full extent authorized or permitted by law, advance Expenses and indemnify and hold harmless against liabilities any person not covered by Section 2(a) of Article 7 of the By-Laws, including the person’s estate (an “Employee Indemnitee”), who is or was an employee or agent of the registrant, or who is or was serving at the request of the registrant as a director, officer, trustee, employee or agent of any other enterprise, or the legal representative of any such person, and who is or was a party to or threatened to be made a party to any Action by reason of the fact that such Employee Indemnitee is or was serving in any of the foregoing capacities.</w:t>
      </w:r>
    </w:p>
    <w:p>
      <w:pPr>
        <w:spacing w:after="0" w:line="145" w:lineRule="exact"/>
        <w:rPr>
          <w:sz w:val="20"/>
          <w:szCs w:val="20"/>
          <w:color w:val="auto"/>
        </w:rPr>
      </w:pPr>
    </w:p>
    <w:p>
      <w:pPr>
        <w:ind w:left="1320" w:right="219" w:firstLine="346"/>
        <w:spacing w:after="0" w:line="261" w:lineRule="auto"/>
        <w:rPr>
          <w:sz w:val="20"/>
          <w:szCs w:val="20"/>
          <w:color w:val="auto"/>
        </w:rPr>
      </w:pPr>
      <w:r>
        <w:rPr>
          <w:rFonts w:ascii="Times New Roman" w:cs="Times New Roman" w:eastAsia="Times New Roman" w:hAnsi="Times New Roman"/>
          <w:sz w:val="14"/>
          <w:szCs w:val="14"/>
          <w:color w:val="auto"/>
        </w:rPr>
        <w:t>Section 3 of Article 7 of the By-Laws further provides that the right of an Indemnitee or Employee Indemnitee to indemnification and payment or reimbursement of Expenses by the registrant under Section 2 of Article 7 of the By-Laws shall be in addition to, and not in lieu of, any statutory or other right of indemnification or payment, advancement or reimbursement of Expenses provided to any Indemnitee or Employee Indemnitee. Section 3 of Article 7 of the By-Laws further provides that no amendment of Article 7 of the By-Laws shall impair the rights of any person arising at any time with respect to events occurring prior to such amendment.</w:t>
      </w:r>
    </w:p>
    <w:p>
      <w:pPr>
        <w:spacing w:after="0" w:line="142" w:lineRule="exact"/>
        <w:rPr>
          <w:sz w:val="20"/>
          <w:szCs w:val="20"/>
          <w:color w:val="auto"/>
        </w:rPr>
      </w:pPr>
    </w:p>
    <w:p>
      <w:pPr>
        <w:ind w:left="1320" w:right="239" w:firstLine="346"/>
        <w:spacing w:after="0" w:line="286" w:lineRule="auto"/>
        <w:rPr>
          <w:sz w:val="20"/>
          <w:szCs w:val="20"/>
          <w:color w:val="auto"/>
        </w:rPr>
      </w:pPr>
      <w:r>
        <w:rPr>
          <w:rFonts w:ascii="Times New Roman" w:cs="Times New Roman" w:eastAsia="Times New Roman" w:hAnsi="Times New Roman"/>
          <w:sz w:val="14"/>
          <w:szCs w:val="14"/>
          <w:color w:val="auto"/>
        </w:rPr>
        <w:t>The By-Laws authorize the registrant to purchase and maintain director and officer insurance, which the registrant currently carries. The By-Laws permit this insurance to cover liabilities for which the registrant is not permitted to indemnify the officer or director under the By-Laws.</w:t>
      </w:r>
    </w:p>
    <w:p>
      <w:pPr>
        <w:spacing w:after="0" w:line="240"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Set forth below is a list of exhibits included as part of this registration statement.</w:t>
      </w:r>
    </w:p>
    <w:p>
      <w:pPr>
        <w:spacing w:after="0" w:line="346"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6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9"/>
        </w:trPr>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960" w:type="dxa"/>
            <w:vAlign w:val="bottom"/>
            <w:vMerge w:val="restart"/>
          </w:tcPr>
          <w:p>
            <w:pPr>
              <w:ind w:left="37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6"/>
        </w:trPr>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320" w:type="dxa"/>
            <w:vAlign w:val="bottom"/>
          </w:tcPr>
          <w:p>
            <w:pPr>
              <w:spacing w:after="0"/>
              <w:rPr>
                <w:sz w:val="11"/>
                <w:szCs w:val="11"/>
                <w:color w:val="auto"/>
              </w:rPr>
            </w:pPr>
          </w:p>
        </w:tc>
        <w:tc>
          <w:tcPr>
            <w:tcW w:w="7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80" w:hanging="61"/>
        <w:spacing w:after="0"/>
        <w:tabs>
          <w:tab w:leader="none" w:pos="13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w:t>
      </w:r>
      <w:r>
        <w:rPr>
          <w:rFonts w:ascii="Times New Roman" w:cs="Times New Roman" w:eastAsia="Times New Roman" w:hAnsi="Times New Roman"/>
          <w:sz w:val="14"/>
          <w:szCs w:val="14"/>
          <w:color w:val="auto"/>
        </w:rPr>
        <w:t>Form of Underwriting Agreement relating to the securities offered by this registration statement.</w:t>
      </w:r>
    </w:p>
    <w:p>
      <w:pPr>
        <w:spacing w:after="0" w:line="93" w:lineRule="exact"/>
        <w:rPr>
          <w:rFonts w:ascii="Times New Roman" w:cs="Times New Roman" w:eastAsia="Times New Roman" w:hAnsi="Times New Roman"/>
          <w:sz w:val="12"/>
          <w:szCs w:val="12"/>
          <w:color w:val="auto"/>
        </w:rPr>
      </w:pPr>
    </w:p>
    <w:p>
      <w:pPr>
        <w:ind w:left="2000" w:right="339" w:hanging="681"/>
        <w:spacing w:after="0" w:line="286" w:lineRule="auto"/>
        <w:tabs>
          <w:tab w:leader="none" w:pos="138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hyperlink r:id="rId59">
        <w:r>
          <w:rPr>
            <w:rFonts w:ascii="Times New Roman" w:cs="Times New Roman" w:eastAsia="Times New Roman" w:hAnsi="Times New Roman"/>
            <w:sz w:val="14"/>
            <w:szCs w:val="14"/>
            <w:u w:val="single" w:color="auto"/>
            <w:color w:val="0000EE"/>
          </w:rPr>
          <w:t>Second Amended and Restated Certificate of Incorporation of Eastman Kodak Company, effective as of September 3, 2013 (Incorporated</w:t>
        </w:r>
      </w:hyperlink>
      <w:r>
        <w:rPr>
          <w:rFonts w:ascii="Times New Roman" w:cs="Times New Roman" w:eastAsia="Times New Roman" w:hAnsi="Times New Roman"/>
          <w:sz w:val="14"/>
          <w:szCs w:val="14"/>
          <w:u w:val="single" w:color="auto"/>
          <w:color w:val="0000EE"/>
        </w:rPr>
        <w:t xml:space="preserve"> </w:t>
      </w:r>
      <w:hyperlink r:id="rId59">
        <w:r>
          <w:rPr>
            <w:rFonts w:ascii="Times New Roman" w:cs="Times New Roman" w:eastAsia="Times New Roman" w:hAnsi="Times New Roman"/>
            <w:sz w:val="14"/>
            <w:szCs w:val="14"/>
            <w:u w:val="single" w:color="auto"/>
            <w:color w:val="0000EE"/>
          </w:rPr>
          <w:t>herein by reference to Exhibit 4.1 to the registrant’s registration statement on form S-8 as filed on September 3, 2013).</w:t>
        </w:r>
      </w:hyperlink>
    </w:p>
    <w:p>
      <w:pPr>
        <w:spacing w:after="0" w:line="40" w:lineRule="exact"/>
        <w:rPr>
          <w:rFonts w:ascii="Times New Roman" w:cs="Times New Roman" w:eastAsia="Times New Roman" w:hAnsi="Times New Roman"/>
          <w:sz w:val="14"/>
          <w:szCs w:val="14"/>
          <w:u w:val="single" w:color="auto"/>
          <w:color w:val="0000EE"/>
        </w:rPr>
      </w:pPr>
    </w:p>
    <w:p>
      <w:pPr>
        <w:ind w:left="2000" w:right="399" w:hanging="681"/>
        <w:spacing w:after="0" w:line="269" w:lineRule="auto"/>
        <w:tabs>
          <w:tab w:leader="none" w:pos="1382" w:val="left"/>
        </w:tabs>
        <w:numPr>
          <w:ilvl w:val="0"/>
          <w:numId w:val="13"/>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hyperlink r:id="rId60">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0">
        <w:r>
          <w:rPr>
            <w:rFonts w:ascii="Times New Roman" w:cs="Times New Roman" w:eastAsia="Times New Roman" w:hAnsi="Times New Roman"/>
            <w:sz w:val="14"/>
            <w:szCs w:val="14"/>
            <w:u w:val="single" w:color="auto"/>
            <w:color w:val="0000EE"/>
          </w:rPr>
          <w:t>November 14, 2016 (Incorporated by reference to Exhibit 3.1 of the registrant’s Current Report on Form 8-K as filed on November 16,</w:t>
        </w:r>
      </w:hyperlink>
      <w:r>
        <w:rPr>
          <w:rFonts w:ascii="Times New Roman" w:cs="Times New Roman" w:eastAsia="Times New Roman" w:hAnsi="Times New Roman"/>
          <w:sz w:val="14"/>
          <w:szCs w:val="14"/>
          <w:u w:val="single" w:color="auto"/>
          <w:color w:val="0000EE"/>
        </w:rPr>
        <w:t xml:space="preserve"> </w:t>
      </w:r>
      <w:hyperlink r:id="rId60">
        <w:r>
          <w:rPr>
            <w:rFonts w:ascii="Times New Roman" w:cs="Times New Roman" w:eastAsia="Times New Roman" w:hAnsi="Times New Roman"/>
            <w:sz w:val="14"/>
            <w:szCs w:val="14"/>
            <w:u w:val="single" w:color="auto"/>
            <w:color w:val="0000EE"/>
          </w:rPr>
          <w:t>2016).</w:t>
        </w:r>
      </w:hyperlink>
    </w:p>
    <w:p>
      <w:pPr>
        <w:spacing w:after="0" w:line="84"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339" w:lineRule="exact"/>
        <w:rPr>
          <w:sz w:val="20"/>
          <w:szCs w:val="20"/>
          <w:color w:val="auto"/>
        </w:rPr>
      </w:pPr>
    </w:p>
    <w:p>
      <w:pPr>
        <w:ind w:left="1840" w:right="279" w:hanging="521"/>
        <w:spacing w:after="0" w:line="286"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hyperlink r:id="rId62">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2">
        <w:r>
          <w:rPr>
            <w:rFonts w:ascii="Times New Roman" w:cs="Times New Roman" w:eastAsia="Times New Roman" w:hAnsi="Times New Roman"/>
            <w:sz w:val="14"/>
            <w:szCs w:val="14"/>
            <w:u w:val="single" w:color="auto"/>
            <w:color w:val="0000EE"/>
          </w:rPr>
          <w:t>September 12, 2019 (Incorporated by reference to Exhibit 3.1 of the registrant’s Current Report on Form 8-K as filed on September 12, 2019).</w:t>
        </w:r>
      </w:hyperlink>
    </w:p>
    <w:p>
      <w:pPr>
        <w:spacing w:after="0" w:line="40" w:lineRule="exact"/>
        <w:rPr>
          <w:rFonts w:ascii="Times New Roman" w:cs="Times New Roman" w:eastAsia="Times New Roman" w:hAnsi="Times New Roman"/>
          <w:sz w:val="14"/>
          <w:szCs w:val="14"/>
          <w:u w:val="single" w:color="auto"/>
          <w:color w:val="0000EE"/>
        </w:rPr>
      </w:pPr>
    </w:p>
    <w:p>
      <w:pPr>
        <w:ind w:left="1840" w:right="279" w:hanging="521"/>
        <w:spacing w:after="0" w:line="286"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4.4</w:t>
      </w:r>
      <w:hyperlink r:id="rId63">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3">
        <w:r>
          <w:rPr>
            <w:rFonts w:ascii="Times New Roman" w:cs="Times New Roman" w:eastAsia="Times New Roman" w:hAnsi="Times New Roman"/>
            <w:sz w:val="14"/>
            <w:szCs w:val="14"/>
            <w:u w:val="single" w:color="auto"/>
            <w:color w:val="0000EE"/>
          </w:rPr>
          <w:t>September 12, 2019 (Incorporated by reference to Exhibit 3.2 of the registrant’s Current Report on Form 8-K as filed on September 12, 2019).</w:t>
        </w:r>
      </w:hyperlink>
    </w:p>
    <w:p>
      <w:pPr>
        <w:spacing w:after="0" w:line="40" w:lineRule="exact"/>
        <w:rPr>
          <w:rFonts w:ascii="Times New Roman" w:cs="Times New Roman" w:eastAsia="Times New Roman" w:hAnsi="Times New Roman"/>
          <w:sz w:val="14"/>
          <w:szCs w:val="14"/>
          <w:u w:val="single" w:color="auto"/>
          <w:color w:val="0000EE"/>
        </w:rPr>
      </w:pPr>
    </w:p>
    <w:p>
      <w:pPr>
        <w:ind w:left="1840" w:right="319" w:hanging="521"/>
        <w:spacing w:after="0" w:line="286"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hyperlink r:id="rId64">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4">
        <w:r>
          <w:rPr>
            <w:rFonts w:ascii="Times New Roman" w:cs="Times New Roman" w:eastAsia="Times New Roman" w:hAnsi="Times New Roman"/>
            <w:sz w:val="14"/>
            <w:szCs w:val="14"/>
            <w:u w:val="single" w:color="auto"/>
            <w:color w:val="0000EE"/>
          </w:rPr>
          <w:t>December 24, 2020 (Incorporated by reference to Exhibit 3.1 of the registrant’s Current Report on Form 8-K as filed on December 29, 2020).</w:t>
        </w:r>
      </w:hyperlink>
    </w:p>
    <w:p>
      <w:pPr>
        <w:spacing w:after="0" w:line="40" w:lineRule="exact"/>
        <w:rPr>
          <w:rFonts w:ascii="Times New Roman" w:cs="Times New Roman" w:eastAsia="Times New Roman" w:hAnsi="Times New Roman"/>
          <w:sz w:val="14"/>
          <w:szCs w:val="14"/>
          <w:u w:val="single" w:color="auto"/>
          <w:color w:val="0000EE"/>
        </w:rPr>
      </w:pPr>
    </w:p>
    <w:p>
      <w:pPr>
        <w:ind w:left="1840" w:right="479" w:hanging="521"/>
        <w:spacing w:after="0" w:line="269"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4.6</w:t>
      </w:r>
      <w:hyperlink r:id="rId65">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5">
        <w:r>
          <w:rPr>
            <w:rFonts w:ascii="Times New Roman" w:cs="Times New Roman" w:eastAsia="Times New Roman" w:hAnsi="Times New Roman"/>
            <w:sz w:val="14"/>
            <w:szCs w:val="14"/>
            <w:u w:val="single" w:color="auto"/>
            <w:color w:val="0000EE"/>
          </w:rPr>
          <w:t>February 25, 2021 (the Series B Certificate of Designations) (Incorporated by reference to Exhibit 3.1 of the registrant’s Current Report on</w:t>
        </w:r>
      </w:hyperlink>
      <w:r>
        <w:rPr>
          <w:rFonts w:ascii="Times New Roman" w:cs="Times New Roman" w:eastAsia="Times New Roman" w:hAnsi="Times New Roman"/>
          <w:sz w:val="14"/>
          <w:szCs w:val="14"/>
          <w:u w:val="single" w:color="auto"/>
          <w:color w:val="0000EE"/>
        </w:rPr>
        <w:t xml:space="preserve"> </w:t>
      </w:r>
      <w:hyperlink r:id="rId65">
        <w:r>
          <w:rPr>
            <w:rFonts w:ascii="Times New Roman" w:cs="Times New Roman" w:eastAsia="Times New Roman" w:hAnsi="Times New Roman"/>
            <w:sz w:val="14"/>
            <w:szCs w:val="14"/>
            <w:u w:val="single" w:color="auto"/>
            <w:color w:val="0000EE"/>
          </w:rPr>
          <w:t>Form 8-K as filed on March 1, 2021).</w:t>
        </w:r>
      </w:hyperlink>
    </w:p>
    <w:p>
      <w:pPr>
        <w:spacing w:after="0" w:line="52" w:lineRule="exact"/>
        <w:rPr>
          <w:rFonts w:ascii="Times New Roman" w:cs="Times New Roman" w:eastAsia="Times New Roman" w:hAnsi="Times New Roman"/>
          <w:sz w:val="14"/>
          <w:szCs w:val="14"/>
          <w:u w:val="single" w:color="auto"/>
          <w:color w:val="0000EE"/>
        </w:rPr>
      </w:pPr>
    </w:p>
    <w:p>
      <w:pPr>
        <w:ind w:left="1840" w:right="479" w:hanging="521"/>
        <w:spacing w:after="0" w:line="269"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4.7</w:t>
      </w:r>
      <w:hyperlink r:id="rId66">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February 25, 2021 (the Series C Certificate of Designations) (Incorporated by reference to Exhibit 3.2 of the registrant’s Current Report on</w:t>
        </w:r>
      </w:hyperlink>
      <w:r>
        <w:rPr>
          <w:rFonts w:ascii="Times New Roman" w:cs="Times New Roman" w:eastAsia="Times New Roman" w:hAnsi="Times New Roman"/>
          <w:sz w:val="14"/>
          <w:szCs w:val="14"/>
          <w:u w:val="single" w:color="auto"/>
          <w:color w:val="0000EE"/>
        </w:rPr>
        <w:t xml:space="preserve"> </w:t>
      </w:r>
      <w:hyperlink r:id="rId66">
        <w:r>
          <w:rPr>
            <w:rFonts w:ascii="Times New Roman" w:cs="Times New Roman" w:eastAsia="Times New Roman" w:hAnsi="Times New Roman"/>
            <w:sz w:val="14"/>
            <w:szCs w:val="14"/>
            <w:u w:val="single" w:color="auto"/>
            <w:color w:val="0000EE"/>
          </w:rPr>
          <w:t>Form 8-K as filed on March 1, 2021).</w:t>
        </w:r>
      </w:hyperlink>
    </w:p>
    <w:p>
      <w:pPr>
        <w:spacing w:after="0" w:line="52" w:lineRule="exact"/>
        <w:rPr>
          <w:rFonts w:ascii="Times New Roman" w:cs="Times New Roman" w:eastAsia="Times New Roman" w:hAnsi="Times New Roman"/>
          <w:sz w:val="14"/>
          <w:szCs w:val="14"/>
          <w:u w:val="single" w:color="auto"/>
          <w:color w:val="0000EE"/>
        </w:rPr>
      </w:pPr>
    </w:p>
    <w:p>
      <w:pPr>
        <w:ind w:left="1840" w:right="559" w:hanging="521"/>
        <w:spacing w:after="0" w:line="286"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4.8</w:t>
      </w:r>
      <w:hyperlink r:id="rId67">
        <w:r>
          <w:rPr>
            <w:rFonts w:ascii="Times New Roman" w:cs="Times New Roman" w:eastAsia="Times New Roman" w:hAnsi="Times New Roman"/>
            <w:sz w:val="14"/>
            <w:szCs w:val="14"/>
            <w:u w:val="single" w:color="auto"/>
            <w:color w:val="0000EE"/>
          </w:rPr>
          <w:t>Certificate of Amendment to the Second Amended and Restated Certificate of Incorporation of Eastman Kodak Company, effective as of</w:t>
        </w:r>
      </w:hyperlink>
      <w:r>
        <w:rPr>
          <w:rFonts w:ascii="Times New Roman" w:cs="Times New Roman" w:eastAsia="Times New Roman" w:hAnsi="Times New Roman"/>
          <w:sz w:val="14"/>
          <w:szCs w:val="14"/>
          <w:u w:val="single" w:color="auto"/>
          <w:color w:val="0000EE"/>
        </w:rPr>
        <w:t xml:space="preserve"> </w:t>
      </w:r>
      <w:hyperlink r:id="rId67">
        <w:r>
          <w:rPr>
            <w:rFonts w:ascii="Times New Roman" w:cs="Times New Roman" w:eastAsia="Times New Roman" w:hAnsi="Times New Roman"/>
            <w:sz w:val="14"/>
            <w:szCs w:val="14"/>
            <w:u w:val="single" w:color="auto"/>
            <w:color w:val="0000EE"/>
          </w:rPr>
          <w:t>March 12, 2026 (Incorporated by reference to Exhibit 3.8 of the registrant’s Annual Report on Form 10-K as filed on March 12, 2026).</w:t>
        </w:r>
      </w:hyperlink>
    </w:p>
    <w:p>
      <w:pPr>
        <w:spacing w:after="0" w:line="40" w:lineRule="exact"/>
        <w:rPr>
          <w:rFonts w:ascii="Times New Roman" w:cs="Times New Roman" w:eastAsia="Times New Roman" w:hAnsi="Times New Roman"/>
          <w:sz w:val="14"/>
          <w:szCs w:val="14"/>
          <w:u w:val="single" w:color="auto"/>
          <w:color w:val="0000EE"/>
        </w:rPr>
      </w:pPr>
    </w:p>
    <w:p>
      <w:pPr>
        <w:ind w:left="1840" w:right="419" w:hanging="521"/>
        <w:spacing w:after="0" w:line="286" w:lineRule="auto"/>
        <w:tabs>
          <w:tab w:leader="none" w:pos="1391"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4.9</w:t>
      </w:r>
      <w:hyperlink r:id="rId68">
        <w:r>
          <w:rPr>
            <w:rFonts w:ascii="Times New Roman" w:cs="Times New Roman" w:eastAsia="Times New Roman" w:hAnsi="Times New Roman"/>
            <w:sz w:val="14"/>
            <w:szCs w:val="14"/>
            <w:u w:val="single" w:color="auto"/>
            <w:color w:val="0000EE"/>
          </w:rPr>
          <w:t>Fourth Amended and Restated By-Laws of Eastman Kodak Company (Incorporated by reference to Exhibit 3.5 of the registrant’s Quarterly</w:t>
        </w:r>
      </w:hyperlink>
      <w:r>
        <w:rPr>
          <w:rFonts w:ascii="Times New Roman" w:cs="Times New Roman" w:eastAsia="Times New Roman" w:hAnsi="Times New Roman"/>
          <w:sz w:val="14"/>
          <w:szCs w:val="14"/>
          <w:u w:val="single" w:color="auto"/>
          <w:color w:val="0000EE"/>
        </w:rPr>
        <w:t xml:space="preserve"> </w:t>
      </w:r>
      <w:hyperlink r:id="rId68">
        <w:r>
          <w:rPr>
            <w:rFonts w:ascii="Times New Roman" w:cs="Times New Roman" w:eastAsia="Times New Roman" w:hAnsi="Times New Roman"/>
            <w:sz w:val="14"/>
            <w:szCs w:val="14"/>
            <w:u w:val="single" w:color="auto"/>
            <w:color w:val="0000EE"/>
          </w:rPr>
          <w:t>Report on Form 10-Q for the quarterly period ended March 31, 2020 as filed on May 12, 2020).</w:t>
        </w:r>
      </w:hyperlink>
    </w:p>
    <w:p>
      <w:pPr>
        <w:spacing w:after="0" w:line="40" w:lineRule="exact"/>
        <w:rPr>
          <w:rFonts w:ascii="Times New Roman" w:cs="Times New Roman" w:eastAsia="Times New Roman" w:hAnsi="Times New Roman"/>
          <w:sz w:val="14"/>
          <w:szCs w:val="14"/>
          <w:color w:val="auto"/>
        </w:rPr>
      </w:pPr>
    </w:p>
    <w:p>
      <w:pPr>
        <w:jc w:val="right"/>
        <w:ind w:left="1320" w:right="439"/>
        <w:spacing w:after="0" w:line="28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4.10    </w:t>
      </w:r>
      <w:hyperlink r:id="rId69">
        <w:r>
          <w:rPr>
            <w:rFonts w:ascii="Times New Roman" w:cs="Times New Roman" w:eastAsia="Times New Roman" w:hAnsi="Times New Roman"/>
            <w:sz w:val="14"/>
            <w:szCs w:val="14"/>
            <w:u w:val="single" w:color="auto"/>
            <w:color w:val="0000EE"/>
          </w:rPr>
          <w:t>Amended and Restated Registration Rights Agreement, dated as of August 8, 2025, by and between Eastman Kodak Company and GO EK</w:t>
        </w:r>
      </w:hyperlink>
      <w:r>
        <w:rPr>
          <w:rFonts w:ascii="Times New Roman" w:cs="Times New Roman" w:eastAsia="Times New Roman" w:hAnsi="Times New Roman"/>
          <w:sz w:val="14"/>
          <w:szCs w:val="14"/>
          <w:color w:val="auto"/>
        </w:rPr>
        <w:t xml:space="preserve"> </w:t>
      </w:r>
      <w:hyperlink r:id="rId69">
        <w:r>
          <w:rPr>
            <w:rFonts w:ascii="Times New Roman" w:cs="Times New Roman" w:eastAsia="Times New Roman" w:hAnsi="Times New Roman"/>
            <w:sz w:val="14"/>
            <w:szCs w:val="14"/>
            <w:u w:val="single" w:color="auto"/>
            <w:color w:val="0000EE"/>
          </w:rPr>
          <w:t>Ventures IV, LLC (Incorporated by reference to Exhibit 4.2 of the registrant’s Quarterly Report on Form 10-Q as filed on August 11, 2025).</w:t>
        </w:r>
      </w:hyperlink>
    </w:p>
    <w:p>
      <w:pPr>
        <w:spacing w:after="0" w:line="40" w:lineRule="exact"/>
        <w:rPr>
          <w:sz w:val="20"/>
          <w:szCs w:val="20"/>
          <w:color w:val="auto"/>
        </w:rPr>
      </w:pPr>
    </w:p>
    <w:p>
      <w:pPr>
        <w:ind w:left="1840" w:right="479" w:hanging="518"/>
        <w:spacing w:after="0" w:line="264" w:lineRule="auto"/>
        <w:tabs>
          <w:tab w:leader="none" w:pos="1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4.11</w:t>
      </w:r>
      <w:r>
        <w:rPr>
          <w:sz w:val="20"/>
          <w:szCs w:val="20"/>
          <w:color w:val="auto"/>
        </w:rPr>
        <w:tab/>
      </w:r>
      <w:hyperlink r:id="rId70">
        <w:r>
          <w:rPr>
            <w:rFonts w:ascii="Times New Roman" w:cs="Times New Roman" w:eastAsia="Times New Roman" w:hAnsi="Times New Roman"/>
            <w:sz w:val="14"/>
            <w:szCs w:val="14"/>
            <w:u w:val="single" w:color="auto"/>
            <w:color w:val="0000EE"/>
          </w:rPr>
          <w:t>Registration Rights Agreement, dated as of March 11, 2026, by and among Eastman Kodak Company and Kennedy Lewis Investment</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Management LLC (together with its affiliates and certain funds, accounts or clients managed, advised or sub-advised by Kennedy Lewis</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Investment Management LLC or its affiliates) (Incorporated by reference to Exhibit 4.5 of the registrant’s Annual Report on Form 10-K as</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filed on March 12, 2026).</w:t>
        </w:r>
      </w:hyperlink>
    </w:p>
    <w:p>
      <w:pPr>
        <w:spacing w:after="0" w:line="55" w:lineRule="exact"/>
        <w:rPr>
          <w:rFonts w:ascii="Times New Roman" w:cs="Times New Roman" w:eastAsia="Times New Roman" w:hAnsi="Times New Roman"/>
          <w:sz w:val="14"/>
          <w:szCs w:val="14"/>
          <w:u w:val="single" w:color="auto"/>
          <w:color w:val="0000EE"/>
        </w:rPr>
      </w:pPr>
    </w:p>
    <w:p>
      <w:pPr>
        <w:jc w:val="both"/>
        <w:ind w:left="1840" w:right="299" w:hanging="518"/>
        <w:spacing w:after="0" w:line="269" w:lineRule="auto"/>
        <w:tabs>
          <w:tab w:leader="none" w:pos="1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4.12</w:t>
      </w:r>
      <w:r>
        <w:rPr>
          <w:sz w:val="20"/>
          <w:szCs w:val="20"/>
          <w:color w:val="auto"/>
        </w:rPr>
        <w:tab/>
      </w:r>
      <w:hyperlink r:id="rId71">
        <w:r>
          <w:rPr>
            <w:rFonts w:ascii="Times New Roman" w:cs="Times New Roman" w:eastAsia="Times New Roman" w:hAnsi="Times New Roman"/>
            <w:sz w:val="14"/>
            <w:szCs w:val="14"/>
            <w:u w:val="single" w:color="auto"/>
            <w:color w:val="0000EE"/>
          </w:rPr>
          <w:t>Amended and Restated Board Rights Agreement, dated as of March 11, 2026, by and between Eastman Kodak Company and Kennedy Lewis</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Investment Management LLC (Incorporated by reference to Exhibit 4.6 of the registrant’s Annual Report on Form 10-K as filed on March 12,</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2026).</w:t>
        </w:r>
      </w:hyperlink>
    </w:p>
    <w:p>
      <w:pPr>
        <w:spacing w:after="0" w:line="52" w:lineRule="exact"/>
        <w:rPr>
          <w:rFonts w:ascii="Times New Roman" w:cs="Times New Roman" w:eastAsia="Times New Roman" w:hAnsi="Times New Roman"/>
          <w:sz w:val="14"/>
          <w:szCs w:val="14"/>
          <w:u w:val="single" w:color="auto"/>
          <w:color w:val="0000EE"/>
        </w:rPr>
      </w:pPr>
    </w:p>
    <w:p>
      <w:pPr>
        <w:ind w:left="1840" w:right="479" w:hanging="518"/>
        <w:spacing w:after="0" w:line="264" w:lineRule="auto"/>
        <w:tabs>
          <w:tab w:leader="none" w:pos="1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4.13</w:t>
      </w:r>
      <w:r>
        <w:rPr>
          <w:sz w:val="20"/>
          <w:szCs w:val="20"/>
          <w:color w:val="auto"/>
        </w:rPr>
        <w:tab/>
      </w:r>
      <w:hyperlink r:id="rId72">
        <w:r>
          <w:rPr>
            <w:rFonts w:ascii="Times New Roman" w:cs="Times New Roman" w:eastAsia="Times New Roman" w:hAnsi="Times New Roman"/>
            <w:sz w:val="14"/>
            <w:szCs w:val="14"/>
            <w:u w:val="single" w:color="auto"/>
            <w:color w:val="0000EE"/>
          </w:rPr>
          <w:t>Investor Rights Agreement, dated as of March 11, 2026, by and among Eastman Kodak Company and Kennedy Lewis Investment</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Management LLC (together with its affiliates and certain funds, accounts or clients managed, advised or sub-advised by Kennedy Lewis</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Investment Management LLC or its affiliates) (Incorporated by reference to Exhibit 4.7 of the registrant’s Annual Report on Form 10-K as</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filed on March 12, 2026).</w:t>
        </w:r>
      </w:hyperlink>
    </w:p>
    <w:p>
      <w:pPr>
        <w:spacing w:after="0" w:line="55" w:lineRule="exact"/>
        <w:rPr>
          <w:rFonts w:ascii="Times New Roman" w:cs="Times New Roman" w:eastAsia="Times New Roman" w:hAnsi="Times New Roman"/>
          <w:sz w:val="14"/>
          <w:szCs w:val="14"/>
          <w:u w:val="single" w:color="auto"/>
          <w:color w:val="0000EE"/>
        </w:rPr>
      </w:pPr>
    </w:p>
    <w:p>
      <w:pPr>
        <w:ind w:left="1840" w:right="239" w:hanging="518"/>
        <w:spacing w:after="0" w:line="269" w:lineRule="auto"/>
        <w:tabs>
          <w:tab w:leader="none" w:pos="1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4.14</w:t>
      </w:r>
      <w:r>
        <w:rPr>
          <w:sz w:val="20"/>
          <w:szCs w:val="20"/>
          <w:color w:val="auto"/>
        </w:rPr>
        <w:tab/>
      </w:r>
      <w:hyperlink r:id="rId73">
        <w:r>
          <w:rPr>
            <w:rFonts w:ascii="Times New Roman" w:cs="Times New Roman" w:eastAsia="Times New Roman" w:hAnsi="Times New Roman"/>
            <w:sz w:val="14"/>
            <w:szCs w:val="14"/>
            <w:u w:val="single" w:color="auto"/>
            <w:color w:val="0000EE"/>
          </w:rPr>
          <w:t>Letter Agreement, dated as of March 11, 2026, by and among Eastman Kodak Company and Kennedy Lewis Management LP, Kennedy Lewis</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Capital Partners Master Fund III LP, KLIM Delta HQC3 LP, Kennedy Lewis (EU) SPV LP and KLCP Co-Investment Opportunities III LP</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(Incorporated by reference to Exhibit 4.8 of the registrant’s Annual Report on Form 10-K as filed on March 12, 2026).</w:t>
        </w:r>
      </w:hyperlink>
    </w:p>
    <w:p>
      <w:pPr>
        <w:spacing w:after="0" w:line="52" w:lineRule="exact"/>
        <w:rPr>
          <w:rFonts w:ascii="Times New Roman" w:cs="Times New Roman" w:eastAsia="Times New Roman" w:hAnsi="Times New Roman"/>
          <w:sz w:val="14"/>
          <w:szCs w:val="14"/>
          <w:u w:val="single" w:color="auto"/>
          <w:color w:val="0000EE"/>
        </w:rPr>
      </w:pPr>
    </w:p>
    <w:p>
      <w:pPr>
        <w:ind w:left="1840" w:right="339" w:hanging="518"/>
        <w:spacing w:after="0" w:line="286" w:lineRule="auto"/>
        <w:tabs>
          <w:tab w:leader="none" w:pos="1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4.15</w:t>
      </w:r>
      <w:r>
        <w:rPr>
          <w:sz w:val="20"/>
          <w:szCs w:val="20"/>
          <w:color w:val="auto"/>
        </w:rPr>
        <w:tab/>
      </w:r>
      <w:hyperlink r:id="rId74">
        <w:r>
          <w:rPr>
            <w:rFonts w:ascii="Times New Roman" w:cs="Times New Roman" w:eastAsia="Times New Roman" w:hAnsi="Times New Roman"/>
            <w:sz w:val="14"/>
            <w:szCs w:val="14"/>
            <w:u w:val="single" w:color="auto"/>
            <w:color w:val="0000EE"/>
          </w:rPr>
          <w:t>Series C Preferred Stock Exchange Agreement, dated as of August 8, 2025, by and between Eastman Kodak Company and GO EK Ventures</w:t>
        </w:r>
      </w:hyperlink>
      <w:r>
        <w:rPr>
          <w:rFonts w:ascii="Times New Roman" w:cs="Times New Roman" w:eastAsia="Times New Roman" w:hAnsi="Times New Roman"/>
          <w:sz w:val="14"/>
          <w:szCs w:val="14"/>
          <w:u w:val="single" w:color="auto"/>
          <w:color w:val="0000EE"/>
        </w:rPr>
        <w:t xml:space="preserve"> </w:t>
      </w:r>
      <w:hyperlink r:id="rId74">
        <w:r>
          <w:rPr>
            <w:rFonts w:ascii="Times New Roman" w:cs="Times New Roman" w:eastAsia="Times New Roman" w:hAnsi="Times New Roman"/>
            <w:sz w:val="14"/>
            <w:szCs w:val="14"/>
            <w:u w:val="single" w:color="auto"/>
            <w:color w:val="0000EE"/>
          </w:rPr>
          <w:t>IV, LLC (Incorporated by reference to Exhibit 4.1 of the registrant’s Quarterly Report on Form 10-Q as filed on August 11, 2025).</w:t>
        </w:r>
      </w:hyperlink>
    </w:p>
    <w:p>
      <w:pPr>
        <w:spacing w:after="0" w:line="40" w:lineRule="exact"/>
        <w:rPr>
          <w:sz w:val="20"/>
          <w:szCs w:val="20"/>
          <w:color w:val="auto"/>
        </w:rPr>
      </w:pPr>
    </w:p>
    <w:p>
      <w:pPr>
        <w:ind w:left="1380" w:hanging="61"/>
        <w:spacing w:after="0"/>
        <w:tabs>
          <w:tab w:leader="none" w:pos="13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w:t>
      </w:r>
      <w:r>
        <w:rPr>
          <w:rFonts w:ascii="Times New Roman" w:cs="Times New Roman" w:eastAsia="Times New Roman" w:hAnsi="Times New Roman"/>
          <w:sz w:val="14"/>
          <w:szCs w:val="14"/>
          <w:u w:val="single" w:color="auto"/>
          <w:color w:val="0000EE"/>
        </w:rPr>
        <w:t>Opinion of Day Pitney LLP (Filed herewith).</w:t>
      </w:r>
    </w:p>
    <w:p>
      <w:pPr>
        <w:spacing w:after="0" w:line="93" w:lineRule="exact"/>
        <w:rPr>
          <w:sz w:val="20"/>
          <w:szCs w:val="20"/>
          <w:color w:val="auto"/>
        </w:rPr>
      </w:pPr>
    </w:p>
    <w:p>
      <w:pPr>
        <w:ind w:left="1320"/>
        <w:spacing w:after="0"/>
        <w:tabs>
          <w:tab w:leader="none" w:pos="18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EE"/>
        </w:rPr>
        <w:t>Consent of Day Pitney LLP (Included in Exhibit 5.1).</w:t>
      </w:r>
    </w:p>
    <w:p>
      <w:pPr>
        <w:spacing w:after="0" w:line="93" w:lineRule="exact"/>
        <w:rPr>
          <w:sz w:val="20"/>
          <w:szCs w:val="20"/>
          <w:color w:val="auto"/>
        </w:rPr>
      </w:pPr>
    </w:p>
    <w:p>
      <w:pPr>
        <w:ind w:left="1320"/>
        <w:spacing w:after="0"/>
        <w:tabs>
          <w:tab w:leader="none" w:pos="18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u w:val="single" w:color="auto"/>
          <w:color w:val="0000EE"/>
        </w:rPr>
        <w:t>Consent of Ernst &amp; Young LLP, Independent Registered Public Accounting Firm (Filed herewith).</w:t>
      </w:r>
    </w:p>
    <w:p>
      <w:pPr>
        <w:spacing w:after="0" w:line="93" w:lineRule="exact"/>
        <w:rPr>
          <w:sz w:val="20"/>
          <w:szCs w:val="20"/>
          <w:color w:val="auto"/>
        </w:rPr>
      </w:pPr>
    </w:p>
    <w:p>
      <w:pPr>
        <w:ind w:left="1320"/>
        <w:spacing w:after="0"/>
        <w:tabs>
          <w:tab w:leader="none" w:pos="182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000EE"/>
        </w:rPr>
        <w:t>Powers of Attorney (Included on the signature pages hereto).</w:t>
      </w:r>
    </w:p>
    <w:p>
      <w:pPr>
        <w:spacing w:after="0" w:line="93" w:lineRule="exact"/>
        <w:rPr>
          <w:sz w:val="20"/>
          <w:szCs w:val="20"/>
          <w:color w:val="auto"/>
        </w:rPr>
      </w:pPr>
    </w:p>
    <w:p>
      <w:pPr>
        <w:ind w:left="1840" w:hanging="521"/>
        <w:spacing w:after="0"/>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81915</wp:posOffset>
            </wp:positionV>
            <wp:extent cx="60579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137" w:lineRule="exact"/>
        <w:rPr>
          <w:sz w:val="20"/>
          <w:szCs w:val="20"/>
          <w:color w:val="auto"/>
        </w:rPr>
      </w:pPr>
    </w:p>
    <w:p>
      <w:pPr>
        <w:ind w:left="5540" w:right="3219" w:hanging="4221"/>
        <w:spacing w:after="0" w:line="460" w:lineRule="auto"/>
        <w:tabs>
          <w:tab w:leader="none" w:pos="149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herein. II-3</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4" w:lineRule="exact"/>
        <w:rPr>
          <w:sz w:val="20"/>
          <w:szCs w:val="20"/>
          <w:color w:val="auto"/>
        </w:rPr>
      </w:pPr>
    </w:p>
    <w:p>
      <w:pPr>
        <w:ind w:left="2680" w:hanging="417"/>
        <w:spacing w:after="0"/>
        <w:tabs>
          <w:tab w:leader="none" w:pos="2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4" w:lineRule="exact"/>
        <w:rPr>
          <w:rFonts w:ascii="Times New Roman" w:cs="Times New Roman" w:eastAsia="Times New Roman" w:hAnsi="Times New Roman"/>
          <w:sz w:val="14"/>
          <w:szCs w:val="14"/>
          <w:color w:val="auto"/>
        </w:rPr>
      </w:pPr>
    </w:p>
    <w:p>
      <w:pPr>
        <w:ind w:left="3200" w:hanging="503"/>
        <w:spacing w:after="0"/>
        <w:tabs>
          <w:tab w:leader="none" w:pos="32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4" w:lineRule="exact"/>
        <w:rPr>
          <w:rFonts w:ascii="Times New Roman" w:cs="Times New Roman" w:eastAsia="Times New Roman" w:hAnsi="Times New Roman"/>
          <w:sz w:val="14"/>
          <w:szCs w:val="14"/>
          <w:color w:val="auto"/>
        </w:rPr>
      </w:pPr>
    </w:p>
    <w:p>
      <w:pPr>
        <w:ind w:left="3200" w:right="199" w:hanging="503"/>
        <w:spacing w:after="0" w:line="257" w:lineRule="auto"/>
        <w:tabs>
          <w:tab w:leader="none" w:pos="32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table in the effective registration statement; and</w:t>
      </w:r>
    </w:p>
    <w:p>
      <w:pPr>
        <w:spacing w:after="0" w:line="73" w:lineRule="exact"/>
        <w:rPr>
          <w:rFonts w:ascii="Times New Roman" w:cs="Times New Roman" w:eastAsia="Times New Roman" w:hAnsi="Times New Roman"/>
          <w:sz w:val="14"/>
          <w:szCs w:val="14"/>
          <w:color w:val="auto"/>
        </w:rPr>
      </w:pPr>
    </w:p>
    <w:p>
      <w:pPr>
        <w:ind w:left="3200" w:right="279" w:hanging="503"/>
        <w:spacing w:after="0" w:line="286" w:lineRule="auto"/>
        <w:tabs>
          <w:tab w:leader="none" w:pos="32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8" w:lineRule="exact"/>
        <w:rPr>
          <w:sz w:val="20"/>
          <w:szCs w:val="20"/>
          <w:color w:val="auto"/>
        </w:rPr>
      </w:pPr>
    </w:p>
    <w:p>
      <w:pPr>
        <w:ind w:left="2700" w:right="31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(i), (ii) and (iii)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5" w:lineRule="exact"/>
        <w:rPr>
          <w:sz w:val="20"/>
          <w:szCs w:val="20"/>
          <w:color w:val="auto"/>
        </w:rPr>
      </w:pPr>
    </w:p>
    <w:p>
      <w:pPr>
        <w:ind w:left="2680" w:right="239" w:hanging="417"/>
        <w:spacing w:after="0" w:line="269" w:lineRule="auto"/>
        <w:tabs>
          <w:tab w:leader="none" w:pos="2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Times New Roman" w:cs="Times New Roman" w:eastAsia="Times New Roman" w:hAnsi="Times New Roman"/>
          <w:sz w:val="14"/>
          <w:szCs w:val="14"/>
          <w:color w:val="auto"/>
        </w:rPr>
      </w:pPr>
    </w:p>
    <w:p>
      <w:pPr>
        <w:ind w:left="2680" w:right="219" w:hanging="417"/>
        <w:spacing w:after="0" w:line="286" w:lineRule="auto"/>
        <w:tabs>
          <w:tab w:leader="none" w:pos="2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4"/>
          <w:szCs w:val="14"/>
          <w:color w:val="auto"/>
        </w:rPr>
      </w:pPr>
    </w:p>
    <w:p>
      <w:pPr>
        <w:ind w:left="2680" w:hanging="417"/>
        <w:spacing w:after="0"/>
        <w:tabs>
          <w:tab w:leader="none" w:pos="2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04" w:lineRule="exact"/>
        <w:rPr>
          <w:rFonts w:ascii="Times New Roman" w:cs="Times New Roman" w:eastAsia="Times New Roman" w:hAnsi="Times New Roman"/>
          <w:sz w:val="14"/>
          <w:szCs w:val="14"/>
          <w:color w:val="auto"/>
        </w:rPr>
      </w:pPr>
    </w:p>
    <w:p>
      <w:pPr>
        <w:jc w:val="both"/>
        <w:ind w:left="3200" w:right="679" w:hanging="503"/>
        <w:spacing w:after="0" w:line="286" w:lineRule="auto"/>
        <w:tabs>
          <w:tab w:leader="none" w:pos="32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Times New Roman" w:cs="Times New Roman" w:eastAsia="Times New Roman" w:hAnsi="Times New Roman"/>
          <w:sz w:val="14"/>
          <w:szCs w:val="14"/>
          <w:color w:val="auto"/>
        </w:rPr>
      </w:pPr>
    </w:p>
    <w:p>
      <w:pPr>
        <w:ind w:left="3200" w:right="299" w:hanging="503"/>
        <w:spacing w:after="0" w:line="256" w:lineRule="auto"/>
        <w:tabs>
          <w:tab w:leader="none" w:pos="32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3220" w:right="219"/>
        <w:spacing w:after="0" w:line="264" w:lineRule="auto"/>
        <w:rPr>
          <w:sz w:val="20"/>
          <w:szCs w:val="20"/>
          <w:color w:val="auto"/>
        </w:rPr>
      </w:pPr>
      <w:r>
        <w:rPr>
          <w:rFonts w:ascii="Times New Roman" w:cs="Times New Roman" w:eastAsia="Times New Roman" w:hAnsi="Times New Roman"/>
          <w:sz w:val="14"/>
          <w:szCs w:val="14"/>
          <w:color w:val="auto"/>
        </w:rPr>
        <w:t>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5" w:lineRule="exact"/>
        <w:rPr>
          <w:sz w:val="20"/>
          <w:szCs w:val="20"/>
          <w:color w:val="auto"/>
        </w:rPr>
      </w:pPr>
    </w:p>
    <w:p>
      <w:pPr>
        <w:ind w:left="2680" w:right="339" w:hanging="417"/>
        <w:spacing w:after="0" w:line="261" w:lineRule="auto"/>
        <w:tabs>
          <w:tab w:leader="none" w:pos="2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4"/>
          <w:szCs w:val="14"/>
          <w:color w:val="auto"/>
        </w:rPr>
      </w:pPr>
    </w:p>
    <w:p>
      <w:pPr>
        <w:ind w:left="3200" w:right="499" w:hanging="503"/>
        <w:spacing w:after="0" w:line="286" w:lineRule="auto"/>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0" w:lineRule="exact"/>
        <w:rPr>
          <w:rFonts w:ascii="Times New Roman" w:cs="Times New Roman" w:eastAsia="Times New Roman" w:hAnsi="Times New Roman"/>
          <w:sz w:val="14"/>
          <w:szCs w:val="14"/>
          <w:color w:val="auto"/>
        </w:rPr>
      </w:pPr>
    </w:p>
    <w:p>
      <w:pPr>
        <w:ind w:left="3200" w:right="379" w:hanging="503"/>
        <w:spacing w:after="0" w:line="286" w:lineRule="auto"/>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0" w:lineRule="exact"/>
        <w:rPr>
          <w:rFonts w:ascii="Times New Roman" w:cs="Times New Roman" w:eastAsia="Times New Roman" w:hAnsi="Times New Roman"/>
          <w:sz w:val="14"/>
          <w:szCs w:val="14"/>
          <w:color w:val="auto"/>
        </w:rPr>
      </w:pPr>
    </w:p>
    <w:p>
      <w:pPr>
        <w:ind w:left="3200" w:right="539" w:hanging="503"/>
        <w:spacing w:after="0" w:line="286" w:lineRule="auto"/>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Times New Roman" w:cs="Times New Roman" w:eastAsia="Times New Roman" w:hAnsi="Times New Roman"/>
          <w:sz w:val="14"/>
          <w:szCs w:val="14"/>
          <w:color w:val="auto"/>
        </w:rPr>
      </w:pPr>
    </w:p>
    <w:p>
      <w:pPr>
        <w:ind w:left="3200" w:hanging="503"/>
        <w:spacing w:after="0"/>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4" w:lineRule="exact"/>
        <w:rPr>
          <w:rFonts w:ascii="Times New Roman" w:cs="Times New Roman" w:eastAsia="Times New Roman" w:hAnsi="Times New Roman"/>
          <w:sz w:val="14"/>
          <w:szCs w:val="14"/>
          <w:color w:val="auto"/>
        </w:rPr>
      </w:pPr>
    </w:p>
    <w:p>
      <w:pPr>
        <w:ind w:left="2680" w:right="259" w:hanging="417"/>
        <w:spacing w:after="0" w:line="261" w:lineRule="auto"/>
        <w:tabs>
          <w:tab w:leader="none" w:pos="2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8" w:lineRule="exact"/>
        <w:rPr>
          <w:rFonts w:ascii="Times New Roman" w:cs="Times New Roman" w:eastAsia="Times New Roman" w:hAnsi="Times New Roman"/>
          <w:sz w:val="14"/>
          <w:szCs w:val="14"/>
          <w:color w:val="auto"/>
        </w:rPr>
      </w:pPr>
    </w:p>
    <w:p>
      <w:pPr>
        <w:ind w:left="2680" w:right="199" w:hanging="417"/>
        <w:spacing w:after="0" w:line="257" w:lineRule="auto"/>
        <w:tabs>
          <w:tab w:leader="none" w:pos="2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Times New Roman" w:cs="Times New Roman" w:eastAsia="Times New Roman" w:hAnsi="Times New Roman"/>
          <w:sz w:val="14"/>
          <w:szCs w:val="14"/>
          <w:color w:val="auto"/>
        </w:rPr>
      </w:pPr>
    </w:p>
    <w:p>
      <w:pPr>
        <w:ind w:left="2680" w:hanging="417"/>
        <w:spacing w:after="0"/>
        <w:tabs>
          <w:tab w:leader="none" w:pos="26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w:t>
      </w:r>
    </w:p>
    <w:p>
      <w:pPr>
        <w:spacing w:after="0" w:line="104" w:lineRule="exact"/>
        <w:rPr>
          <w:rFonts w:ascii="Times New Roman" w:cs="Times New Roman" w:eastAsia="Times New Roman" w:hAnsi="Times New Roman"/>
          <w:sz w:val="14"/>
          <w:szCs w:val="14"/>
          <w:color w:val="auto"/>
        </w:rPr>
      </w:pPr>
    </w:p>
    <w:p>
      <w:pPr>
        <w:ind w:left="3200" w:right="219" w:hanging="503"/>
        <w:spacing w:after="0" w:line="264" w:lineRule="auto"/>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5" w:lineRule="exact"/>
        <w:rPr>
          <w:rFonts w:ascii="Times New Roman" w:cs="Times New Roman" w:eastAsia="Times New Roman" w:hAnsi="Times New Roman"/>
          <w:sz w:val="14"/>
          <w:szCs w:val="14"/>
          <w:color w:val="auto"/>
        </w:rPr>
      </w:pPr>
    </w:p>
    <w:p>
      <w:pPr>
        <w:jc w:val="both"/>
        <w:ind w:left="3200" w:right="539" w:hanging="503"/>
        <w:spacing w:after="0" w:line="269" w:lineRule="auto"/>
        <w:tabs>
          <w:tab w:leader="none" w:pos="32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left="1320" w:right="499" w:firstLine="346"/>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Eastman Kodak Company certifies that it has reasonable grounds to believe that it meets all of the requirements for filing on Form S-3 and has duly caused this registration statement to be signed on its behalf by the undersigned, thereunto duly authorized, in the City of Rochester, State of New York, on July 1, 2026.</w:t>
      </w:r>
    </w:p>
    <w:p>
      <w:pPr>
        <w:spacing w:after="0" w:line="15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EASTMAN KODAK COMPANY</w:t>
      </w:r>
    </w:p>
    <w:p>
      <w:pPr>
        <w:spacing w:after="0" w:line="180" w:lineRule="exact"/>
        <w:rPr>
          <w:sz w:val="20"/>
          <w:szCs w:val="20"/>
          <w:color w:val="auto"/>
        </w:rPr>
      </w:pPr>
    </w:p>
    <w:tbl>
      <w:tblPr>
        <w:tblLayout w:type="fixed"/>
        <w:tblInd w:w="652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Roger W. Byrd</w:t>
            </w:r>
          </w:p>
        </w:tc>
      </w:tr>
      <w:tr>
        <w:trPr>
          <w:trHeight w:val="146"/>
        </w:trPr>
        <w:tc>
          <w:tcPr>
            <w:tcW w:w="4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Roger W. Byrd</w:t>
            </w:r>
          </w:p>
        </w:tc>
      </w:t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Counsel, Secretary &amp; Senior Vice President</w:t>
            </w:r>
          </w:p>
        </w:tc>
      </w:tr>
    </w:tbl>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the undersigned do hereby constitute and appoint James V. Continenza, David E. Bullwinkle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Roger W. Byrd,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supplements to this registration statement and subsequent registration statements relating to the offering to which this registration statement relates (including pursuant to Rule 462(b)), and to any and all instruments or documents filed as part of or in conjunction with this registration statement or amendments or supplements thereof, and each of the undersigned hereby ratifies and confirms all that said attorneys and agents, or any one of them, shall do or cause to be done by virtue hereof. This Power of Attorney may be signed in several counterparts.</w:t>
      </w:r>
    </w:p>
    <w:p>
      <w:pPr>
        <w:spacing w:after="0" w:line="148" w:lineRule="exact"/>
        <w:rPr>
          <w:sz w:val="20"/>
          <w:szCs w:val="20"/>
          <w:color w:val="auto"/>
        </w:rPr>
      </w:pPr>
    </w:p>
    <w:p>
      <w:pPr>
        <w:ind w:left="1320" w:right="359" w:firstLine="346"/>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 indicated.</w:t>
      </w:r>
    </w:p>
    <w:p>
      <w:pPr>
        <w:spacing w:after="0" w:line="142" w:lineRule="exact"/>
        <w:rPr>
          <w:sz w:val="20"/>
          <w:szCs w:val="20"/>
          <w:color w:val="auto"/>
        </w:rPr>
      </w:pPr>
    </w:p>
    <w:tbl>
      <w:tblPr>
        <w:tblLayout w:type="fixed"/>
        <w:tblInd w:w="1320" w:type="dxa"/>
        <w:tblCellMar>
          <w:top w:w="0" w:type="dxa"/>
          <w:left w:w="0" w:type="dxa"/>
          <w:bottom w:w="0" w:type="dxa"/>
          <w:right w:w="0" w:type="dxa"/>
        </w:tblCellMar>
      </w:tblPr>
      <w:tr>
        <w:trPr>
          <w:trHeight w:val="14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0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V. Continenza</w:t>
            </w:r>
          </w:p>
        </w:tc>
        <w:tc>
          <w:tcPr>
            <w:tcW w:w="100" w:type="dxa"/>
            <w:vAlign w:val="bottom"/>
          </w:tcPr>
          <w:p>
            <w:pPr>
              <w:spacing w:after="0"/>
              <w:rPr>
                <w:sz w:val="24"/>
                <w:szCs w:val="24"/>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Executive Chairman and Chief Executive Officer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James V. Continenza</w:t>
            </w:r>
          </w:p>
        </w:tc>
        <w:tc>
          <w:tcPr>
            <w:tcW w:w="100" w:type="dxa"/>
            <w:vAlign w:val="bottom"/>
          </w:tcPr>
          <w:p>
            <w:pPr>
              <w:spacing w:after="0"/>
              <w:rPr>
                <w:sz w:val="15"/>
                <w:szCs w:val="15"/>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6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David E. Bullwinkle</w:t>
            </w:r>
          </w:p>
        </w:tc>
        <w:tc>
          <w:tcPr>
            <w:tcW w:w="100" w:type="dxa"/>
            <w:vAlign w:val="bottom"/>
          </w:tcPr>
          <w:p>
            <w:pPr>
              <w:spacing w:after="0"/>
              <w:rPr>
                <w:sz w:val="24"/>
                <w:szCs w:val="24"/>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Financial Officer and Senior Vice President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E. Bullwinkle</w:t>
            </w:r>
          </w:p>
        </w:tc>
        <w:tc>
          <w:tcPr>
            <w:tcW w:w="100" w:type="dxa"/>
            <w:vAlign w:val="bottom"/>
          </w:tcPr>
          <w:p>
            <w:pPr>
              <w:spacing w:after="0"/>
              <w:rPr>
                <w:sz w:val="15"/>
                <w:szCs w:val="15"/>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36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T. Michaels</w:t>
            </w:r>
          </w:p>
        </w:tc>
        <w:tc>
          <w:tcPr>
            <w:tcW w:w="100" w:type="dxa"/>
            <w:vAlign w:val="bottom"/>
          </w:tcPr>
          <w:p>
            <w:pPr>
              <w:spacing w:after="0"/>
              <w:rPr>
                <w:sz w:val="24"/>
                <w:szCs w:val="24"/>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Accounting Officer and Corporate Controller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 Michaels</w:t>
            </w:r>
          </w:p>
        </w:tc>
        <w:tc>
          <w:tcPr>
            <w:tcW w:w="100" w:type="dxa"/>
            <w:vAlign w:val="bottom"/>
          </w:tcPr>
          <w:p>
            <w:pPr>
              <w:spacing w:after="0"/>
              <w:rPr>
                <w:sz w:val="15"/>
                <w:szCs w:val="15"/>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36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P. Bovenzi</w:t>
            </w:r>
          </w:p>
        </w:tc>
        <w:tc>
          <w:tcPr>
            <w:tcW w:w="10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P. Bovenzi</w:t>
            </w: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Philippe D. Katz</w:t>
            </w:r>
          </w:p>
        </w:tc>
        <w:tc>
          <w:tcPr>
            <w:tcW w:w="10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Philippe D. Katz</w:t>
            </w: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Kathleen B. Lynch</w:t>
            </w:r>
          </w:p>
        </w:tc>
        <w:tc>
          <w:tcPr>
            <w:tcW w:w="100" w:type="dxa"/>
            <w:vAlign w:val="bottom"/>
          </w:tcPr>
          <w:p>
            <w:pPr>
              <w:spacing w:after="0"/>
              <w:rPr>
                <w:sz w:val="24"/>
                <w:szCs w:val="24"/>
                <w:color w:val="auto"/>
              </w:rPr>
            </w:pP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Kathleen B. Lynch</w:t>
            </w: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72"/>
        </w:trPr>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II-6</w:t>
            </w:r>
          </w:p>
        </w:tc>
        <w:tc>
          <w:tcPr>
            <w:tcW w:w="136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Jason New</w:t>
            </w:r>
          </w:p>
        </w:tc>
        <w:tc>
          <w:tcPr>
            <w:tcW w:w="32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Director</w:t>
            </w:r>
          </w:p>
        </w:tc>
        <w:tc>
          <w:tcPr>
            <w:tcW w:w="17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5"/>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Jason New</w:t>
            </w:r>
          </w:p>
        </w:tc>
        <w:tc>
          <w:tcPr>
            <w:tcW w:w="3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Darren L. Richman</w:t>
            </w:r>
          </w:p>
        </w:tc>
        <w:tc>
          <w:tcPr>
            <w:tcW w:w="32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Director</w:t>
            </w:r>
          </w:p>
        </w:tc>
        <w:tc>
          <w:tcPr>
            <w:tcW w:w="17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5"/>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Darren L. Richman</w:t>
            </w:r>
          </w:p>
        </w:tc>
        <w:tc>
          <w:tcPr>
            <w:tcW w:w="3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2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E. Sileck, Jr.</w:t>
            </w:r>
          </w:p>
        </w:tc>
        <w:tc>
          <w:tcPr>
            <w:tcW w:w="32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Director</w:t>
            </w:r>
          </w:p>
        </w:tc>
        <w:tc>
          <w:tcPr>
            <w:tcW w:w="17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5"/>
              </w:rPr>
              <w:t>July 1, 2026</w:t>
            </w:r>
          </w:p>
        </w:tc>
      </w:tr>
      <w:tr>
        <w:trPr>
          <w:trHeight w:val="175"/>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Michael E. Sileck, Jr.</w:t>
            </w:r>
          </w:p>
        </w:tc>
        <w:tc>
          <w:tcPr>
            <w:tcW w:w="3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72"/>
        </w:trPr>
        <w:tc>
          <w:tcPr>
            <w:tcW w:w="3280" w:type="dxa"/>
            <w:vAlign w:val="bottom"/>
          </w:tcPr>
          <w:p>
            <w:pPr>
              <w:spacing w:after="0"/>
              <w:rPr>
                <w:sz w:val="23"/>
                <w:szCs w:val="23"/>
                <w:color w:val="auto"/>
              </w:rPr>
            </w:pPr>
          </w:p>
        </w:tc>
        <w:tc>
          <w:tcPr>
            <w:tcW w:w="32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II-7</w:t>
            </w:r>
          </w:p>
        </w:tc>
        <w:tc>
          <w:tcPr>
            <w:tcW w:w="1740" w:type="dxa"/>
            <w:vAlign w:val="bottom"/>
          </w:tcPr>
          <w:p>
            <w:pPr>
              <w:spacing w:after="0"/>
              <w:rPr>
                <w:sz w:val="23"/>
                <w:szCs w:val="23"/>
                <w:color w:val="auto"/>
              </w:rPr>
            </w:pPr>
          </w:p>
        </w:tc>
      </w:tr>
    </w:tbl>
    <w:p>
      <w:pPr>
        <w:sectPr>
          <w:pgSz w:w="11900" w:h="16838" w:orient="portrait"/>
          <w:cols w:equalWidth="0" w:num="1">
            <w:col w:w="10159"/>
          </w:cols>
          <w:pgMar w:left="300" w:top="388" w:right="1440" w:bottom="1440" w:gutter="0" w:footer="0" w:header="0"/>
        </w:sectPr>
      </w:pPr>
    </w:p>
    <w:bookmarkStart w:id="28" w:name="page29"/>
    <w:bookmarkEnd w:id="28"/>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554355</wp:posOffset>
            </wp:positionV>
            <wp:extent cx="54927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137160</wp:posOffset>
            </wp:positionV>
            <wp:extent cx="1844040" cy="309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184404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Boston | Connecticut | Florida | New Jersey | New York | Providence | Washington, DC</w:t>
      </w:r>
    </w:p>
    <w:p>
      <w:pPr>
        <w:spacing w:after="0" w:line="17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July 1, 2026</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Eastman Kodak Company</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343 State Street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Rochester, New York 14650</w:t>
      </w:r>
    </w:p>
    <w:p>
      <w:pPr>
        <w:spacing w:after="0" w:line="185" w:lineRule="exact"/>
        <w:rPr>
          <w:sz w:val="20"/>
          <w:szCs w:val="20"/>
          <w:color w:val="auto"/>
        </w:rPr>
      </w:pPr>
    </w:p>
    <w:p>
      <w:pPr>
        <w:ind w:left="520"/>
        <w:spacing w:after="0"/>
        <w:tabs>
          <w:tab w:leader="none" w:pos="92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Eastman Kodak Company Registration Statement on Form S-3</w:t>
      </w:r>
    </w:p>
    <w:p>
      <w:pPr>
        <w:spacing w:after="0" w:line="178" w:lineRule="exact"/>
        <w:rPr>
          <w:sz w:val="20"/>
          <w:szCs w:val="20"/>
          <w:color w:val="auto"/>
        </w:rPr>
      </w:pPr>
    </w:p>
    <w:p>
      <w:pPr>
        <w:ind w:left="180" w:right="299" w:firstLine="346"/>
        <w:spacing w:after="0" w:line="258" w:lineRule="auto"/>
        <w:rPr>
          <w:sz w:val="20"/>
          <w:szCs w:val="20"/>
          <w:color w:val="auto"/>
        </w:rPr>
      </w:pPr>
      <w:r>
        <w:rPr>
          <w:rFonts w:ascii="Times New Roman" w:cs="Times New Roman" w:eastAsia="Times New Roman" w:hAnsi="Times New Roman"/>
          <w:sz w:val="14"/>
          <w:szCs w:val="14"/>
          <w:color w:val="auto"/>
        </w:rPr>
        <w:t>We refer to the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filed on the date hereof by Eastman Kodak Company, a New Jersey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relating to the resale from time to time in one or more offerings of up to 4,426,268 shares of common stock, par value $0.01 per share, of the Company (“</w:t>
      </w:r>
      <w:r>
        <w:rPr>
          <w:rFonts w:ascii="Times New Roman" w:cs="Times New Roman" w:eastAsia="Times New Roman" w:hAnsi="Times New Roman"/>
          <w:sz w:val="14"/>
          <w:szCs w:val="14"/>
          <w:u w:val="single" w:color="auto"/>
          <w:color w:val="auto"/>
        </w:rPr>
        <w:t>Company Common Stock</w:t>
      </w:r>
      <w:r>
        <w:rPr>
          <w:rFonts w:ascii="Times New Roman" w:cs="Times New Roman" w:eastAsia="Times New Roman" w:hAnsi="Times New Roman"/>
          <w:sz w:val="14"/>
          <w:szCs w:val="14"/>
          <w:color w:val="auto"/>
        </w:rPr>
        <w:t>”) by the selling shareholders named in the Registration Statement, including (a) 3,451,113 currently outstanding shares of Company Common Stock held by the selling shareholders (the “</w:t>
      </w:r>
      <w:r>
        <w:rPr>
          <w:rFonts w:ascii="Times New Roman" w:cs="Times New Roman" w:eastAsia="Times New Roman" w:hAnsi="Times New Roman"/>
          <w:sz w:val="14"/>
          <w:szCs w:val="14"/>
          <w:u w:val="single" w:color="auto"/>
          <w:color w:val="auto"/>
        </w:rPr>
        <w:t>Outstanding Shares</w:t>
      </w:r>
      <w:r>
        <w:rPr>
          <w:rFonts w:ascii="Times New Roman" w:cs="Times New Roman" w:eastAsia="Times New Roman" w:hAnsi="Times New Roman"/>
          <w:sz w:val="14"/>
          <w:szCs w:val="14"/>
          <w:color w:val="auto"/>
        </w:rPr>
        <w:t>”), and (b) 975,155 shares of Company Common Stock (the “</w:t>
      </w:r>
      <w:r>
        <w:rPr>
          <w:rFonts w:ascii="Times New Roman" w:cs="Times New Roman" w:eastAsia="Times New Roman" w:hAnsi="Times New Roman"/>
          <w:sz w:val="14"/>
          <w:szCs w:val="14"/>
          <w:u w:val="single" w:color="auto"/>
          <w:color w:val="auto"/>
        </w:rPr>
        <w:t>Series B Conversion Shares</w:t>
      </w:r>
      <w:r>
        <w:rPr>
          <w:rFonts w:ascii="Times New Roman" w:cs="Times New Roman" w:eastAsia="Times New Roman" w:hAnsi="Times New Roman"/>
          <w:sz w:val="14"/>
          <w:szCs w:val="14"/>
          <w:color w:val="auto"/>
        </w:rPr>
        <w:t>” and together with the Outstanding Shares,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issuable upon the conversion of the currently outstanding shares of Series B Preferred Stock, par value $0.01 per share, of the Company (the “</w:t>
      </w:r>
      <w:r>
        <w:rPr>
          <w:rFonts w:ascii="Times New Roman" w:cs="Times New Roman" w:eastAsia="Times New Roman" w:hAnsi="Times New Roman"/>
          <w:sz w:val="14"/>
          <w:szCs w:val="14"/>
          <w:u w:val="single" w:color="auto"/>
          <w:color w:val="auto"/>
        </w:rPr>
        <w:t>Series B Preferred Stock</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80" w:right="359" w:firstLine="346"/>
        <w:spacing w:after="0" w:line="269"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the prospectus contained therein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other than as expressly stated herein with respect to the issuance of the Securities.</w:t>
      </w:r>
    </w:p>
    <w:p>
      <w:pPr>
        <w:spacing w:after="0" w:line="137" w:lineRule="exact"/>
        <w:rPr>
          <w:sz w:val="20"/>
          <w:szCs w:val="20"/>
          <w:color w:val="auto"/>
        </w:rPr>
      </w:pPr>
    </w:p>
    <w:p>
      <w:pPr>
        <w:ind w:left="180" w:right="259" w:firstLine="346"/>
        <w:spacing w:after="0" w:line="259" w:lineRule="auto"/>
        <w:rPr>
          <w:sz w:val="20"/>
          <w:szCs w:val="20"/>
          <w:color w:val="auto"/>
        </w:rPr>
      </w:pPr>
      <w:r>
        <w:rPr>
          <w:rFonts w:ascii="Times New Roman" w:cs="Times New Roman" w:eastAsia="Times New Roman" w:hAnsi="Times New Roman"/>
          <w:sz w:val="14"/>
          <w:szCs w:val="14"/>
          <w:color w:val="auto"/>
        </w:rPr>
        <w:t>In connection with this opinion letter, we have examined, and relied without investigation as to matters of fact upon, originals, or copies certified or otherwise identified to our satisfaction, of (i) the Registration Statement, (ii) the Second Amended and Restated Certificate of Incorporation of the Company, as amended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and the Fourth Amended and Restated By-Laws of the Company, each as currently in effect,</w:t>
      </w:r>
    </w:p>
    <w:p>
      <w:pPr>
        <w:spacing w:after="0" w:line="2" w:lineRule="exact"/>
        <w:rPr>
          <w:sz w:val="20"/>
          <w:szCs w:val="20"/>
          <w:color w:val="auto"/>
        </w:rPr>
      </w:pPr>
    </w:p>
    <w:p>
      <w:pPr>
        <w:ind w:left="180" w:right="279" w:hanging="1"/>
        <w:spacing w:after="0" w:line="259" w:lineRule="auto"/>
        <w:tabs>
          <w:tab w:leader="none" w:pos="42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relevant resolutions of the Board of Directors of the Company or committees thereof and (iv) such corporate records, documents, agreements, instruments and certificates, statements and results of inquiries of public officials of the State of New Jersey and of officers of the Company as we have deemed necessary or appropriate in connection with this opinion letter.</w:t>
      </w:r>
    </w:p>
    <w:p>
      <w:pPr>
        <w:spacing w:after="0" w:line="143" w:lineRule="exact"/>
        <w:rPr>
          <w:sz w:val="20"/>
          <w:szCs w:val="20"/>
          <w:color w:val="auto"/>
        </w:rPr>
      </w:pPr>
    </w:p>
    <w:p>
      <w:pPr>
        <w:ind w:left="180" w:right="239" w:firstLine="346"/>
        <w:spacing w:after="0" w:line="261" w:lineRule="auto"/>
        <w:rPr>
          <w:sz w:val="20"/>
          <w:szCs w:val="20"/>
          <w:color w:val="auto"/>
        </w:rPr>
      </w:pPr>
      <w:r>
        <w:rPr>
          <w:rFonts w:ascii="Times New Roman" w:cs="Times New Roman" w:eastAsia="Times New Roman" w:hAnsi="Times New Roman"/>
          <w:sz w:val="14"/>
          <w:szCs w:val="14"/>
          <w:color w:val="auto"/>
        </w:rPr>
        <w:t>In all such examinations, we have assumed, without inquiry, the genuineness of all signatures on all documents examined by us, the legal capacity of natural persons, the authority of such persons signing all documents in connection with which the opinions herein are rendered, the authenticity of all documents submitted to us as originals, and the conformity to authentic original documents of all documents submitted to us as duplicates or certified or conformed copies and the authenticity of the originals of such documents that were not submitted to us as originals. We have also assumed that the books and records of the Company are maintained in accordance with proper corporate procedures.</w:t>
      </w:r>
    </w:p>
    <w:p>
      <w:pPr>
        <w:sectPr>
          <w:pgSz w:w="11900" w:h="16838" w:orient="portrait"/>
          <w:cols w:equalWidth="0" w:num="1">
            <w:col w:w="9019"/>
          </w:cols>
          <w:pgMar w:left="1440" w:top="123" w:right="1440" w:bottom="1440" w:gutter="0" w:footer="0" w:header="0"/>
        </w:sectPr>
      </w:pPr>
    </w:p>
    <w:bookmarkStart w:id="29" w:name="page30"/>
    <w:bookmarkEnd w:id="29"/>
    <w:p>
      <w:pPr>
        <w:ind w:lef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163195</wp:posOffset>
            </wp:positionV>
            <wp:extent cx="1393190" cy="28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93190" cy="282575"/>
                    </a:xfrm>
                    <a:prstGeom prst="rect">
                      <a:avLst/>
                    </a:prstGeom>
                    <a:noFill/>
                  </pic:spPr>
                </pic:pic>
              </a:graphicData>
            </a:graphic>
          </wp:anchor>
        </w:drawing>
        <w:t>Eastman Kodak Company</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July 1, 2026</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Page 2</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upon the foregoing, and subject to the assumptions, qualifications and limitations stated herein, as of the date hereof, we are of the opinion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that:</w:t>
      </w:r>
    </w:p>
    <w:p>
      <w:pPr>
        <w:spacing w:after="0" w:line="164" w:lineRule="exact"/>
        <w:rPr>
          <w:sz w:val="20"/>
          <w:szCs w:val="20"/>
          <w:color w:val="auto"/>
        </w:rPr>
      </w:pPr>
    </w:p>
    <w:p>
      <w:pPr>
        <w:ind w:left="660" w:hanging="135"/>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Shares are validly issued, fully paid and non-assessable.</w:t>
      </w:r>
    </w:p>
    <w:p>
      <w:pPr>
        <w:spacing w:after="0" w:line="178" w:lineRule="exact"/>
        <w:rPr>
          <w:rFonts w:ascii="Times New Roman" w:cs="Times New Roman" w:eastAsia="Times New Roman" w:hAnsi="Times New Roman"/>
          <w:sz w:val="14"/>
          <w:szCs w:val="14"/>
          <w:color w:val="auto"/>
        </w:rPr>
      </w:pPr>
    </w:p>
    <w:p>
      <w:pPr>
        <w:ind w:left="180" w:right="299" w:firstLine="345"/>
        <w:spacing w:after="0" w:line="269" w:lineRule="auto"/>
        <w:tabs>
          <w:tab w:leader="none" w:pos="66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B Conversion Shares have been duly authorized by the Company and, upon due issuance and delivery of such Series B Conversion Shares against payment therefor in the manner contemplated by the Certificate of Incorporation and the terms of the Series B Preferred Stock, and by such authorization, such Series B Conversion Shares will be validly issued, fully paid and non-assessable.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opinions set forth in this opinion letter are limited to matters governed by the present state of the laws of the State of New Jersey (the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We express no opinion with regard to any matter that may be governed by any law other than the Applicable Law. In addition, this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opinion letter is limited to the matters stated herein, and no opinion is implied or may be inferred beyond the matters expressly stated herein.</w:t>
      </w:r>
    </w:p>
    <w:p>
      <w:pPr>
        <w:spacing w:after="0" w:line="164" w:lineRule="exact"/>
        <w:rPr>
          <w:sz w:val="20"/>
          <w:szCs w:val="20"/>
          <w:color w:val="auto"/>
        </w:rPr>
      </w:pPr>
    </w:p>
    <w:p>
      <w:pPr>
        <w:jc w:val="both"/>
        <w:ind w:left="180" w:right="579" w:firstLine="346"/>
        <w:spacing w:after="0" w:line="269"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this firm under the heading “Legal Matters” in the Prospectus. In giving such consent, we do not hereby concede that we are within the category of persons whose consent is required under Section 7 of the Act, or the rules and regulations of the Commission promulgated thereunder.</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DAY PITNEY LLP</w:t>
      </w:r>
    </w:p>
    <w:p>
      <w:pPr>
        <w:spacing w:after="0" w:line="17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DAY PITNEY LLP</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SWG; GBM</w:t>
      </w:r>
    </w:p>
    <w:p>
      <w:pPr>
        <w:sectPr>
          <w:pgSz w:w="11900" w:h="16838" w:orient="portrait"/>
          <w:cols w:equalWidth="0" w:num="1">
            <w:col w:w="9019"/>
          </w:cols>
          <w:pgMar w:left="1440" w:top="771" w:right="1440" w:bottom="1440" w:gutter="0" w:footer="0" w:header="0"/>
        </w:sectPr>
      </w:pPr>
    </w:p>
    <w:bookmarkStart w:id="30" w:name="page31"/>
    <w:bookmarkEnd w:id="3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Ernst &amp; Young LLP, Independent Registered Public Accounting Firm</w:t>
      </w:r>
    </w:p>
    <w:p>
      <w:pPr>
        <w:spacing w:after="0" w:line="180" w:lineRule="exact"/>
        <w:rPr>
          <w:sz w:val="20"/>
          <w:szCs w:val="20"/>
          <w:color w:val="auto"/>
        </w:rPr>
      </w:pPr>
    </w:p>
    <w:p>
      <w:pPr>
        <w:ind w:left="180" w:right="279"/>
        <w:spacing w:after="0" w:line="264"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Eastman Kodak Company for the registration of common stock and to the incorporation by reference therein of our reports dated March 12, 2026, with respect to the consolidated financial statements of Eastman Kodak Company, and the effectiveness of internal control over financial reporting of Eastman Kodak Company, included in its Annual Report (Form 10-K) for the year ended December 31, 2025, filed with the Securities and Exchange Commission.</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Ernst &amp; Young LLP  </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Rochester, New York</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July 1, 2026</w:t>
      </w:r>
    </w:p>
    <w:p>
      <w:pPr>
        <w:sectPr>
          <w:pgSz w:w="11900" w:h="16838" w:orient="portrait"/>
          <w:cols w:equalWidth="0" w:num="1">
            <w:col w:w="9019"/>
          </w:cols>
          <w:pgMar w:left="1440" w:top="123" w:right="1440" w:bottom="1440" w:gutter="0" w:footer="0" w:header="0"/>
        </w:sectPr>
      </w:pPr>
    </w:p>
    <w:bookmarkStart w:id="31" w:name="page32"/>
    <w:bookmarkEnd w:id="31"/>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EASTMAN KODAK CO</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40"/>
              <w:spacing w:after="0" w:line="117"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0"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4,426,268</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320"/>
              <w:spacing w:after="0"/>
              <w:rPr>
                <w:sz w:val="20"/>
                <w:szCs w:val="20"/>
                <w:color w:val="auto"/>
              </w:rPr>
            </w:pPr>
            <w:r>
              <w:rPr>
                <w:rFonts w:ascii="Arial" w:cs="Arial" w:eastAsia="Arial" w:hAnsi="Arial"/>
                <w:sz w:val="17"/>
                <w:szCs w:val="17"/>
                <w:color w:val="auto"/>
                <w:w w:val="97"/>
              </w:rPr>
              <w:t>$ 9.30</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$ 5,684.79</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41,164,292.40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$ 5,684.79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41,164,292.40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$ 5,684.79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240" w:hanging="183"/>
        <w:spacing w:after="0" w:line="232" w:lineRule="auto"/>
        <w:tabs>
          <w:tab w:leader="none" w:pos="220" w:val="left"/>
        </w:tabs>
        <w:numPr>
          <w:ilvl w:val="0"/>
          <w:numId w:val="23"/>
        </w:numPr>
        <w:rPr>
          <w:rFonts w:ascii="Arial" w:cs="Arial" w:eastAsia="Arial" w:hAnsi="Arial"/>
          <w:sz w:val="21"/>
          <w:szCs w:val="21"/>
          <w:color w:val="auto"/>
          <w:vertAlign w:val="superscript"/>
        </w:rPr>
      </w:pPr>
      <w:r>
        <w:rPr>
          <w:rFonts w:ascii="Arial" w:cs="Arial" w:eastAsia="Arial" w:hAnsi="Arial"/>
          <w:sz w:val="17"/>
          <w:szCs w:val="17"/>
          <w:color w:val="auto"/>
        </w:rPr>
        <w:t>(1) Represents up to 4,426,268 shares of the Eastman Kodak Company's (the "Company") common stock, par value $0.01 per share ("Common Stock"), issued to the selling shareholders named in the Company's registration statement on Form S-3 filed on July 1, 2026. (2) Pursuant to Rule 416 under the Securities Act of 1933, as amended (the "Securities Act"), the shares of Common Stock offered hereby shall also be deemed to cover such additional shares as may hereafter be offered or issued with respect to the shares registered hereby resulting from stock splits, stock dividends, recapitalizations or similar capital adjustments. (3) Estimated solely for the purpose of calculating the registration fee pursuant to Rule 457(c) under the Securities Act and based upon the average of the high and low prices for the Common Stock reported on the New York Stock Exchange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9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
      <w:numFmt w:val="bullet"/>
      <w:start w:val="1"/>
    </w:lvl>
  </w:abstractNum>
  <w:abstractNum w:abstractNumId="13">
    <w:nsid w:val="3F2DBA31"/>
    <w:multiLevelType w:val="hybridMultilevel"/>
    <w:lvl w:ilvl="0">
      <w:lvlJc w:val="left"/>
      <w:lvlText w:val=" "/>
      <w:numFmt w:val="bullet"/>
      <w:start w:val="1"/>
    </w:lvl>
  </w:abstractNum>
  <w:abstractNum w:abstractNumId="14">
    <w:nsid w:val="7C83E458"/>
    <w:multiLevelType w:val="hybridMultilevel"/>
    <w:lvl w:ilvl="0">
      <w:lvlJc w:val="left"/>
      <w:lvlText w:val=" "/>
      <w:numFmt w:val="bullet"/>
      <w:start w:val="1"/>
    </w:lvl>
  </w:abstractNum>
  <w:abstractNum w:abstractNumId="15">
    <w:nsid w:val="257130A3"/>
    <w:multiLevelType w:val="hybridMultilevel"/>
    <w:lvl w:ilvl="0">
      <w:lvlJc w:val="left"/>
      <w:lvlText w:val="%1"/>
      <w:numFmt w:val="decimal"/>
      <w:start w:val="107"/>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Roman"/>
      <w:start w:val="1"/>
    </w:lvl>
  </w:abstractNum>
  <w:abstractNum w:abstractNumId="18">
    <w:nsid w:val="628C895D"/>
    <w:multiLevelType w:val="hybridMultilevel"/>
    <w:lvl w:ilvl="0">
      <w:lvlJc w:val="left"/>
      <w:lvlText w:val="(%1)"/>
      <w:numFmt w:val="decimal"/>
      <w:start w:val="2"/>
    </w:lvl>
    <w:lvl w:ilvl="1">
      <w:lvlJc w:val="left"/>
      <w:lvlText w:val="(%2)"/>
      <w:numFmt w:val="lowerRoman"/>
      <w:start w:val="1"/>
    </w:lvl>
  </w:abstractNum>
  <w:abstractNum w:abstractNumId="19">
    <w:nsid w:val="333AB105"/>
    <w:multiLevelType w:val="hybridMultilevel"/>
    <w:lvl w:ilvl="0">
      <w:lvlJc w:val="left"/>
      <w:lvlText w:val="(%1)"/>
      <w:numFmt w:val="decimal"/>
      <w:start w:val="5"/>
    </w:lvl>
    <w:lvl w:ilvl="1">
      <w:lvlJc w:val="left"/>
      <w:lvlText w:val="(%2)"/>
      <w:numFmt w:val="lowerRoman"/>
      <w:start w:val="1"/>
    </w:lvl>
  </w:abstractNum>
  <w:abstractNum w:abstractNumId="20">
    <w:nsid w:val="721DA317"/>
    <w:multiLevelType w:val="hybridMultilevel"/>
    <w:lvl w:ilvl="0">
      <w:lvlJc w:val="left"/>
      <w:lvlText w:val="(%1)"/>
      <w:numFmt w:val="lowerRoman"/>
      <w:start w:val="3"/>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61"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jpeg"/><Relationship Id="rId82" Type="http://schemas.openxmlformats.org/officeDocument/2006/relationships/image" Target="media/image51.png"/><Relationship Id="rId83" Type="http://schemas.openxmlformats.org/officeDocument/2006/relationships/image" Target="media/image52.jpeg"/><Relationship Id="rId84" Type="http://schemas.openxmlformats.org/officeDocument/2006/relationships/image" Target="media/image53.png"/><Relationship Id="rId25" Type="http://schemas.openxmlformats.org/officeDocument/2006/relationships/hyperlink" Target="http://www.sec.gov/ix?doc=/Archives/edgar/data/0000031235/000119312526104214/kodk-20251231.htm" TargetMode="External"/><Relationship Id="rId26" Type="http://schemas.openxmlformats.org/officeDocument/2006/relationships/hyperlink" Target="http://www.sec.gov/ix?doc=/Archives/edgar/data/0000031235/000114036126013928/ny20066366x1_def14a.htm" TargetMode="External"/><Relationship Id="rId27" Type="http://schemas.openxmlformats.org/officeDocument/2006/relationships/hyperlink" Target="http://www.sec.gov/ix?doc=/Archives/edgar/data/0000031235/000119312526212026/kodk-20260331.htm" TargetMode="External"/><Relationship Id="rId28" Type="http://schemas.openxmlformats.org/officeDocument/2006/relationships/hyperlink" Target="http://www.sec.gov/ix?doc=/Archives/edgar/data/0000031235/000119312526059417/kodk-20260212.htmXBRL%20Viewer" TargetMode="External"/><Relationship Id="rId29" Type="http://schemas.openxmlformats.org/officeDocument/2006/relationships/hyperlink" Target="http://www.sec.gov/ix?doc=/Archives/edgar/data/0000031235/000119312526083095/kodk-20260223.htm" TargetMode="External"/><Relationship Id="rId30" Type="http://schemas.openxmlformats.org/officeDocument/2006/relationships/hyperlink" Target="http://www.sec.gov/ix?doc=/Archives/edgar/data/0000031235/000119312526236943/kodk-20260520.htm" TargetMode="External"/><Relationship Id="rId31" Type="http://schemas.openxmlformats.org/officeDocument/2006/relationships/hyperlink" Target="http://www.sec.gov/Archives/edgar/data/31235/000119312513355253/d591061d8a12g.htm" TargetMode="External"/><Relationship Id="rId32" Type="http://schemas.openxmlformats.org/officeDocument/2006/relationships/hyperlink" Target="http://www.sec.gov/Archives/edgar/data/31235/000119312513354928/d591063ds8.htm" TargetMode="External"/><Relationship Id="rId33" Type="http://schemas.openxmlformats.org/officeDocument/2006/relationships/hyperlink" Target="http://www.sec.gov/Archives/edgar/data/31235/000119312526104214/kodk-ex4_9.htm" TargetMode="External"/><Relationship Id="rId59" Type="http://schemas.openxmlformats.org/officeDocument/2006/relationships/hyperlink" Target="http://www.sec.gov/Archives/edgar/data/31235/000119312513354928/d591063dex41.htm" TargetMode="External"/><Relationship Id="rId60" Type="http://schemas.openxmlformats.org/officeDocument/2006/relationships/hyperlink" Target="http://www.sec.gov/Archives/edgar/data/31235/000156459016029358/kodk-ex31_26.htm" TargetMode="External"/><Relationship Id="rId62" Type="http://schemas.openxmlformats.org/officeDocument/2006/relationships/hyperlink" Target="http://www.sec.gov/Archives/edgar/data/31235/000119312519243935/d803063dex31.htm" TargetMode="External"/><Relationship Id="rId63" Type="http://schemas.openxmlformats.org/officeDocument/2006/relationships/hyperlink" Target="http://www.sec.gov/Archives/edgar/data/31235/000119312519243935/d803063dex32.htm" TargetMode="External"/><Relationship Id="rId64" Type="http://schemas.openxmlformats.org/officeDocument/2006/relationships/hyperlink" Target="http://www.sec.gov/Archives/edgar/data/31235/000156459020058718/kodk-ex31_14.htm" TargetMode="External"/><Relationship Id="rId65" Type="http://schemas.openxmlformats.org/officeDocument/2006/relationships/hyperlink" Target="http://www.sec.gov/Archives/edgar/data/31235/000119312521062328/d468860dex31.htm" TargetMode="External"/><Relationship Id="rId66" Type="http://schemas.openxmlformats.org/officeDocument/2006/relationships/hyperlink" Target="http://www.sec.gov/Archives/edgar/data/31235/000119312521062328/d468860dex32.htm" TargetMode="External"/><Relationship Id="rId67" Type="http://schemas.openxmlformats.org/officeDocument/2006/relationships/hyperlink" Target="http://www.sec.gov/Archives/edgar/data/31235/000119312526104214/kodk-ex3_8.htm" TargetMode="External"/><Relationship Id="rId68" Type="http://schemas.openxmlformats.org/officeDocument/2006/relationships/hyperlink" Target="http://www.sec.gov/Archives/edgar/data/31235/000156459020024666/kodk-ex35_31.htm" TargetMode="External"/><Relationship Id="rId69" Type="http://schemas.openxmlformats.org/officeDocument/2006/relationships/hyperlink" Target="http://www.sec.gov/Archives/edgar/data/31235/000095017025106568/kodk-ex4_2.htm" TargetMode="External"/><Relationship Id="rId70" Type="http://schemas.openxmlformats.org/officeDocument/2006/relationships/hyperlink" Target="http://www.sec.gov/Archives/edgar/data/31235/000119312526104214/kodk-ex4_5.htm" TargetMode="External"/><Relationship Id="rId71" Type="http://schemas.openxmlformats.org/officeDocument/2006/relationships/hyperlink" Target="http://www.sec.gov/Archives/edgar/data/31235/000119312526104214/kodk-ex4_6.htm" TargetMode="External"/><Relationship Id="rId72" Type="http://schemas.openxmlformats.org/officeDocument/2006/relationships/hyperlink" Target="http://www.sec.gov/Archives/edgar/data/31235/000119312526104214/kodk-ex4_7.htm" TargetMode="External"/><Relationship Id="rId73" Type="http://schemas.openxmlformats.org/officeDocument/2006/relationships/hyperlink" Target="http://www.sec.gov/Archives/edgar/data/31235/000119312526104214/kodk-ex4_8.htm" TargetMode="External"/><Relationship Id="rId74" Type="http://schemas.openxmlformats.org/officeDocument/2006/relationships/hyperlink" Target="http://www.sec.gov/Archives/edgar/data/31235/000095017025106568/kodk-2025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2026-07-01T15:27:04Z</dcterms:created>
  <dcterms:modified xsi:type="dcterms:W3CDTF">2026-07-01T15:27:04Z</dcterms:modified>
</cp:coreProperties>
</file>